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2018年度新疆喀什经济开发区发展改革和经济</w:t>
      </w:r>
    </w:p>
    <w:p>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促进局部门决算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统筹经济社会发展规划、年度计划等；编制产业目录，审核管理优惠政策；负责招商、援疆、区域经济合作和相关会展的筹备、组织及参会工作；科技、经济等领域管理服务和信息统计发布；编制、衔接对口援疆规划、专项规划和年度计划，跟踪落实援疆规划的实施等。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新疆喀什经济开发区发展改革和经济促进局</w:t>
      </w:r>
      <w:r>
        <w:rPr>
          <w:rFonts w:hint="eastAsia" w:ascii="仿宋_GB2312" w:eastAsia="仿宋_GB2312"/>
          <w:sz w:val="32"/>
          <w:szCs w:val="32"/>
        </w:rPr>
        <w:t>部门决算包括：</w:t>
      </w:r>
      <w:r>
        <w:rPr>
          <w:rFonts w:ascii="仿宋_GB2312" w:eastAsia="仿宋_GB2312"/>
          <w:sz w:val="32"/>
          <w:szCs w:val="32"/>
        </w:rPr>
        <w:t>新疆喀什经济开发区发展改革和经济促进局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新疆喀什经济开发区发展改革和经济促进局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新疆喀什经济开发区发展改革和经济促进局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6,487.4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2,069.08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4,418.32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6,487.4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5,922.59</w:t>
      </w:r>
      <w:r>
        <w:rPr>
          <w:rFonts w:hint="eastAsia" w:ascii="仿宋_GB2312" w:eastAsia="仿宋_GB2312"/>
          <w:color w:val="000000" w:themeColor="text1"/>
          <w:sz w:val="32"/>
          <w:szCs w:val="32"/>
        </w:rPr>
        <w:t>万元，占</w:t>
      </w:r>
      <w:r>
        <w:rPr>
          <w:rFonts w:hint="eastAsia" w:ascii="仿宋_GB2312" w:eastAsia="仿宋_GB2312"/>
          <w:sz w:val="32"/>
          <w:szCs w:val="32"/>
        </w:rPr>
        <w:t>91.29%</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564.81</w:t>
      </w:r>
      <w:r>
        <w:rPr>
          <w:rFonts w:hint="eastAsia" w:ascii="仿宋_GB2312" w:eastAsia="仿宋_GB2312"/>
          <w:color w:val="000000" w:themeColor="text1"/>
          <w:sz w:val="32"/>
          <w:szCs w:val="32"/>
        </w:rPr>
        <w:t>万元，占</w:t>
      </w:r>
      <w:r>
        <w:rPr>
          <w:rFonts w:hint="eastAsia" w:ascii="仿宋_GB2312" w:eastAsia="仿宋_GB2312"/>
          <w:sz w:val="32"/>
          <w:szCs w:val="32"/>
        </w:rPr>
        <w:t>8.71%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况：本年收入年初预算数1,821.9万元</w:t>
      </w:r>
      <w:r>
        <w:rPr>
          <w:rFonts w:hint="eastAsia" w:ascii="仿宋_GB2312" w:eastAsia="仿宋_GB2312"/>
          <w:sz w:val="32"/>
          <w:szCs w:val="32"/>
        </w:rPr>
        <w:t>，决算数6,487.4万元</w:t>
      </w:r>
      <w:r>
        <w:rPr>
          <w:rFonts w:ascii="仿宋_GB2312" w:eastAsia="仿宋_GB2312"/>
          <w:sz w:val="32"/>
          <w:szCs w:val="32"/>
        </w:rPr>
        <w:t>，预决算差异率256.08%，差异主要原因是:新增单位，无上年对比数据。</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2,069.08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241.7</w:t>
      </w:r>
      <w:r>
        <w:rPr>
          <w:rFonts w:hint="eastAsia" w:ascii="仿宋_GB2312" w:eastAsia="仿宋_GB2312"/>
          <w:color w:val="000000" w:themeColor="text1"/>
          <w:sz w:val="32"/>
          <w:szCs w:val="32"/>
        </w:rPr>
        <w:t>万元，占</w:t>
      </w:r>
      <w:r>
        <w:rPr>
          <w:rFonts w:hint="eastAsia" w:ascii="仿宋_GB2312" w:eastAsia="仿宋_GB2312"/>
          <w:sz w:val="32"/>
          <w:szCs w:val="32"/>
        </w:rPr>
        <w:t>11.68%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1,827.38</w:t>
      </w:r>
      <w:r>
        <w:rPr>
          <w:rFonts w:hint="eastAsia" w:ascii="仿宋_GB2312" w:eastAsia="仿宋_GB2312"/>
          <w:color w:val="000000" w:themeColor="text1"/>
          <w:sz w:val="32"/>
          <w:szCs w:val="32"/>
        </w:rPr>
        <w:t>万元，占</w:t>
      </w:r>
      <w:r>
        <w:rPr>
          <w:rFonts w:hint="eastAsia" w:ascii="仿宋_GB2312" w:eastAsia="仿宋_GB2312"/>
          <w:sz w:val="32"/>
          <w:szCs w:val="32"/>
        </w:rPr>
        <w:t>88.32%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与年初预算数相比情况：本年支出年初预算数1,821.9万元，</w:t>
      </w:r>
      <w:r>
        <w:rPr>
          <w:rFonts w:hint="eastAsia" w:ascii="仿宋_GB2312" w:eastAsia="仿宋_GB2312"/>
          <w:sz w:val="32"/>
          <w:szCs w:val="32"/>
        </w:rPr>
        <w:t>决算数2,069.08万元</w:t>
      </w:r>
      <w:r>
        <w:rPr>
          <w:rFonts w:ascii="仿宋_GB2312" w:eastAsia="仿宋_GB2312"/>
          <w:sz w:val="32"/>
          <w:szCs w:val="32"/>
        </w:rPr>
        <w:t>，预决算差异率13.57%，差异主要原因是:增加纺织产业的运费电费补贴。</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5,922.59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1,747.56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240.51</w:t>
      </w:r>
      <w:r>
        <w:rPr>
          <w:rFonts w:hint="eastAsia" w:ascii="仿宋_GB2312" w:eastAsia="仿宋_GB2312"/>
          <w:color w:val="000000" w:themeColor="text1"/>
          <w:sz w:val="32"/>
          <w:szCs w:val="32"/>
        </w:rPr>
        <w:t>万元，项目支出</w:t>
      </w:r>
      <w:r>
        <w:rPr>
          <w:rFonts w:hint="eastAsia" w:ascii="仿宋_GB2312" w:eastAsia="仿宋_GB2312"/>
          <w:sz w:val="32"/>
          <w:szCs w:val="32"/>
        </w:rPr>
        <w:t>1,507.06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4,175.03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1,821.9</w:t>
      </w:r>
      <w:r>
        <w:rPr>
          <w:rFonts w:hint="eastAsia" w:ascii="仿宋_GB2312" w:eastAsia="仿宋_GB2312"/>
          <w:color w:val="000000" w:themeColor="text1"/>
          <w:sz w:val="32"/>
          <w:szCs w:val="32"/>
        </w:rPr>
        <w:t>万元，决算数</w:t>
      </w:r>
      <w:r>
        <w:rPr>
          <w:rFonts w:hint="eastAsia" w:ascii="仿宋_GB2312" w:eastAsia="仿宋_GB2312"/>
          <w:sz w:val="32"/>
          <w:szCs w:val="32"/>
        </w:rPr>
        <w:t>5,922.59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，预决算差异率225.08%，差异主要原因是:有未支出项目。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1,821.9</w:t>
      </w:r>
      <w:r>
        <w:rPr>
          <w:rFonts w:hint="eastAsia" w:ascii="仿宋_GB2312" w:eastAsia="仿宋_GB2312"/>
          <w:color w:val="000000" w:themeColor="text1"/>
          <w:sz w:val="32"/>
          <w:szCs w:val="32"/>
        </w:rPr>
        <w:t>万元，决算数</w:t>
      </w:r>
      <w:r>
        <w:rPr>
          <w:rFonts w:hint="eastAsia" w:ascii="仿宋_GB2312" w:eastAsia="仿宋_GB2312"/>
          <w:sz w:val="32"/>
          <w:szCs w:val="32"/>
        </w:rPr>
        <w:t>1,747.56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，预决算差异率-4.08%，差异主要原因是:有未支出项目。</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5,922.59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1,747.56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住房保障支出13.77万元,一般公共服务支出663.82万元,城乡社区支出30万元,资源勘探信息等支出996.58万元,科学技术支出21.96万元,其他支出0.72万元,社会保障和就业支出20.7万元。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工资福利支出212.28万元,商品和服务支出538.69万元,对企业补助996.58万元。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1,821.9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5,922.59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，预决算差异率225.08%，差异主要原因是:有未支出项目。</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1,821.9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1,747.56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，预决算差异率-4.08%，差异主要原因是:有未支出项目。</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4,418.32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4,175.03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9.63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0%，与上年相比增加0万元，增长0%，主要原因是：新增单位，无上年对比数据；</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8.43</w:t>
      </w:r>
      <w:r>
        <w:rPr>
          <w:rFonts w:hint="eastAsia" w:ascii="仿宋_GB2312" w:eastAsia="仿宋_GB2312"/>
          <w:color w:val="000000" w:themeColor="text1"/>
          <w:sz w:val="32"/>
          <w:szCs w:val="32"/>
        </w:rPr>
        <w:t>万元，占</w:t>
      </w:r>
      <w:r>
        <w:rPr>
          <w:rFonts w:hint="eastAsia" w:ascii="仿宋_GB2312" w:eastAsia="仿宋_GB2312"/>
          <w:sz w:val="32"/>
          <w:szCs w:val="32"/>
        </w:rPr>
        <w:t>87.54%，与上年相比增加0万元，增长0%，主要原因是：新增单位，无上年对比数据；</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1.2</w:t>
      </w:r>
      <w:r>
        <w:rPr>
          <w:rFonts w:hint="eastAsia" w:ascii="仿宋_GB2312" w:eastAsia="仿宋_GB2312"/>
          <w:color w:val="000000" w:themeColor="text1"/>
          <w:sz w:val="32"/>
          <w:szCs w:val="32"/>
        </w:rPr>
        <w:t>万元，占</w:t>
      </w:r>
      <w:r>
        <w:rPr>
          <w:rFonts w:hint="eastAsia" w:ascii="仿宋_GB2312" w:eastAsia="仿宋_GB2312"/>
          <w:sz w:val="32"/>
          <w:szCs w:val="32"/>
        </w:rPr>
        <w:t>12.46%，与上年相比增加0万元，增长0%，主要原因是：新增单位，无上年对比数据。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新疆喀什经济开发区发展改革和经济促进局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8.43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8.43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用于工作人员的公务用车</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1.2</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1.2</w:t>
      </w:r>
      <w:r>
        <w:rPr>
          <w:rFonts w:hint="eastAsia" w:ascii="仿宋_GB2312" w:eastAsia="仿宋_GB2312"/>
          <w:color w:val="000000" w:themeColor="text1"/>
          <w:sz w:val="32"/>
          <w:szCs w:val="32"/>
        </w:rPr>
        <w:t>万元，主要是</w:t>
      </w:r>
      <w:r>
        <w:rPr>
          <w:rFonts w:hint="eastAsia" w:ascii="仿宋_GB2312" w:eastAsia="仿宋_GB2312"/>
          <w:sz w:val="32"/>
          <w:szCs w:val="32"/>
        </w:rPr>
        <w:t>接待客商及代表团发生的工作餐</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新疆喀什经济开发区发展改革和经济促进局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15</w:t>
      </w:r>
      <w:r>
        <w:rPr>
          <w:rFonts w:hint="eastAsia" w:ascii="仿宋_GB2312" w:eastAsia="仿宋_GB2312"/>
          <w:color w:val="000000" w:themeColor="text1"/>
          <w:sz w:val="32"/>
          <w:szCs w:val="32"/>
        </w:rPr>
        <w:t>批次，</w:t>
      </w:r>
      <w:r>
        <w:rPr>
          <w:rFonts w:hint="eastAsia" w:ascii="仿宋_GB2312" w:eastAsia="仿宋_GB2312"/>
          <w:sz w:val="32"/>
          <w:szCs w:val="32"/>
        </w:rPr>
        <w:t>123</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16.21</w:t>
      </w:r>
      <w:r>
        <w:rPr>
          <w:rFonts w:hint="eastAsia" w:ascii="仿宋_GB2312" w:eastAsia="仿宋_GB2312"/>
          <w:color w:val="000000" w:themeColor="text1"/>
          <w:sz w:val="32"/>
          <w:szCs w:val="32"/>
        </w:rPr>
        <w:t>万元，决算数9.63万元</w:t>
      </w:r>
      <w:r>
        <w:rPr>
          <w:rFonts w:ascii="仿宋_GB2312" w:eastAsia="仿宋_GB2312"/>
          <w:color w:val="000000" w:themeColor="text1"/>
          <w:sz w:val="32"/>
          <w:szCs w:val="32"/>
        </w:rPr>
        <w:t>，预决算差异率-40.59%，差异主要原因是:降低了公务用车的使用率和压缩了接待费用。</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8.43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，预决算差异率-43.8%，差异主要原因是:新增单位，无上年对比数据；</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1.21</w:t>
      </w:r>
      <w:r>
        <w:rPr>
          <w:rFonts w:hint="eastAsia" w:ascii="仿宋_GB2312" w:eastAsia="仿宋_GB2312"/>
          <w:color w:val="000000" w:themeColor="text1"/>
          <w:sz w:val="32"/>
          <w:szCs w:val="32"/>
        </w:rPr>
        <w:t>万元，决算数1.2万元</w:t>
      </w:r>
      <w:r>
        <w:rPr>
          <w:rFonts w:ascii="仿宋_GB2312" w:eastAsia="仿宋_GB2312"/>
          <w:color w:val="000000" w:themeColor="text1"/>
          <w:sz w:val="32"/>
          <w:szCs w:val="32"/>
        </w:rPr>
        <w:t>，预决算差异率-0.83%，差异主要原因是:</w:t>
      </w:r>
      <w:bookmarkEnd w:id="86"/>
      <w:r>
        <w:rPr>
          <w:rFonts w:ascii="仿宋_GB2312" w:eastAsia="仿宋_GB2312"/>
          <w:color w:val="000000" w:themeColor="text1"/>
          <w:sz w:val="32"/>
          <w:szCs w:val="32"/>
        </w:rPr>
        <w:t>接待客商一律用工作餐，降低了接待费用。</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2018年度新疆喀什经济开发区发展改革和经济促进局机关运行经费支出28.22万元，与上年相比增加0万元，增长0%，主要原因是：新增单位，无上年对比数据。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792.99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792.99</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bookmarkStart w:id="92" w:name="_GoBack"/>
      <w:bookmarkEnd w:id="92"/>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前期费（二）项目绩效自评综述：根据年初设定的绩效目标，该项目绩效自评得分为90分。项目全年预算数为182万元，执行数为182万元，完成预算的100%。主要产出和效果：及时完成了项目实施方案和规划编制。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2、个人补助经费项目绩效自评综述：根据年初设定的绩效目标，该项目绩效自评得分为90分。项目全年预算数为0.72万元，执行数为0.72万元，完成预算的100%。主要产出和效果：改善专家居住条件，提高专家工作积极性。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3、中共喀什经济开发区企业委员会基地建设项目绩效自评综述：根据年初设定的绩效目标，该项目绩效自评得分为84.2分。项目全年预算数为14.95万元，执行数为12.04万元，完成预算的80.54%。主要产出和效果：新落地企业3家，接待客商及代表团50多批次。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4、中小企业发展专项资金项目绩效自评综述：根据年初设定的绩效目标，该项目绩效自评得分为89分。项目全年预算数为50万元，执行数为50万元，完成预算的100%。主要产出和效果：业务保障能力，公共服务水平得到提升。发现的问题及原因：新增单位，无上年对比数据。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5、原车管所区域及深圳产业园标准厂房一期区域绿化养护服务费项目绩效自评综述：根据年初设定的绩效目标，该项目绩效自评得分为88分。项目全年预算数为30万元，执行数为30万元，完成预算的100%。主要产出和效果：提升政府形象，达到绿化目标，环境得到提升。发现的问题及原因：新增单位，无上年对比数据。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6、物业安保费项目绩效自评综述：根据年初设定的绩效目标，该项目绩效自评得分为88分。项目全年预算数为99.05万元，执行数为99.05万元，完成预算的100%。主要产出和效果：保障安全。发现的问题及原因：不存在问题及原因分析。下一步改进措施： 新增单位，无上年对比数据。  </w:t>
      </w:r>
    </w:p>
    <w:p>
      <w:pPr>
        <w:spacing w:line="540" w:lineRule="exact"/>
        <w:ind w:right="-1" w:firstLine="640" w:firstLineChars="200"/>
        <w:jc w:val="left"/>
      </w:pPr>
      <w:r>
        <w:rPr>
          <w:rFonts w:ascii="仿宋_GB2312" w:hAnsi="仿宋_GB2312" w:eastAsia="仿宋_GB2312" w:cs="仿宋_GB2312"/>
          <w:color w:val="000000"/>
          <w:sz w:val="32"/>
        </w:rPr>
        <w:t xml:space="preserve">7、双创基地建设资金项目绩效自评综述：根据年初设定的绩效目标，该项目绩效自评得分为87分。项目全年预算数为3,000万元，执行数为0万元，完成预算的0%。主要产出和效果：喀什特区深喀科技创新服务中心通过该项目达到建设或资助运营、入股、投资基金、固投补助双创基地办公场所、拓展空间建设、办公设施和相关配套购置等效果。发现的问题及原因：该项目因未谈妥，现暂处于未开工状态。下一步改进措施： 该项目因未谈妥，现暂处于未开工状态。  </w:t>
      </w:r>
    </w:p>
    <w:p>
      <w:pPr>
        <w:spacing w:line="540" w:lineRule="exact"/>
        <w:ind w:right="-1" w:firstLine="640" w:firstLineChars="200"/>
        <w:jc w:val="left"/>
      </w:pPr>
      <w:r>
        <w:rPr>
          <w:rFonts w:ascii="仿宋_GB2312" w:hAnsi="仿宋_GB2312" w:eastAsia="仿宋_GB2312" w:cs="仿宋_GB2312"/>
          <w:color w:val="000000"/>
          <w:sz w:val="32"/>
        </w:rPr>
        <w:t xml:space="preserve">8、国内国外展会、对接费项目绩效自评综述：根据年初设定的绩效目标，该项目绩效自评得分为75.4分。项目全年预算数为100万元，执行数为8.68万元，完成预算的8.68%。主要产出和效果：接待企业15家，营造良好营商环境。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9、标准厂房外墙广告制作项目绩效自评综述：根据年初设定的绩效目标，该项目绩效自评得分为86分。项目全年预算数为16.17万元，执行数为16.17万元，完成预算的100%。主要产出和效果：接待客商及代表团50多批次，各类宣传活动参与人数达到500多人次，显著提高开发区正面影响力。发现的问题及原因：不存在问题及原因分析。下一步改进措施</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 xml:space="preserve">无建议。  </w:t>
      </w:r>
    </w:p>
    <w:p>
      <w:pPr>
        <w:spacing w:line="540" w:lineRule="exact"/>
        <w:ind w:right="-1" w:firstLine="640" w:firstLineChars="200"/>
        <w:jc w:val="left"/>
      </w:pPr>
      <w:r>
        <w:rPr>
          <w:rFonts w:ascii="仿宋_GB2312" w:hAnsi="仿宋_GB2312" w:eastAsia="仿宋_GB2312" w:cs="仿宋_GB2312"/>
          <w:color w:val="000000"/>
          <w:sz w:val="32"/>
        </w:rPr>
        <w:t xml:space="preserve">10、北部产业园信息化管理系统项目绩效自评综述：根据年初设定的绩效目标，该项目绩效自评得分为88分。项目全年预算数为30万元，执行数为0万元，完成预算的0%。主要产出和效果：一是简化职工流动性统计，将各县、各乡镇、街道人员每日清点汇总，直观了解人员动态。二是是政策、事项发布，及时将优惠政策、项目资金申报及园区各类会议、会务事项发布，缩短入园企业获得信息时间，强化联动性。三是提升物业服务，将入园企业应缴的水、电、暖等费用情况及时公示，收缴，减少入园企业缴费环节；四是其他功能，可将银行放贷与企业需求建立关联，并逐步开放产品发布、流通信息等环节。发现的问题及原因：项目未实施。下一步改进措施： 建议本项目预算资金调整至其他项目。  </w:t>
      </w:r>
    </w:p>
    <w:p>
      <w:pPr>
        <w:spacing w:line="540" w:lineRule="exact"/>
        <w:ind w:right="-1" w:firstLine="640" w:firstLineChars="200"/>
        <w:jc w:val="left"/>
      </w:pPr>
      <w:r>
        <w:rPr>
          <w:rFonts w:ascii="仿宋_GB2312" w:hAnsi="仿宋_GB2312" w:eastAsia="仿宋_GB2312" w:cs="仿宋_GB2312"/>
          <w:color w:val="000000"/>
          <w:sz w:val="32"/>
        </w:rPr>
        <w:t xml:space="preserve">11、小额贸易企业能力建设专项资金项目绩效自评综述：根据年初设定的绩效目标，该项目绩效自评得分为87分。项目全年预算数为777万元，执行数为777万元，完成预算的100%。主要产出和效果：收益企业及单位2018年解决平困户就业760人。发现的问题及原因：新增单位，无上年对比数据。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12、第四次经济普查摸底费用项目绩效自评综述：根据年初设定的绩效目标，该项目绩效自评得分为85分。项目全年预算数为3.5万元，执行数为3.5万元，完成预算的100%。主要产出和效果：清查工作全部按时完成。发现的问题及原因：普查对象不配合。下一步改进措施：加大宣传动员，加大经费投入。  </w:t>
      </w:r>
    </w:p>
    <w:p>
      <w:pPr>
        <w:spacing w:line="540" w:lineRule="exact"/>
        <w:ind w:right="-1" w:firstLine="640" w:firstLineChars="200"/>
        <w:jc w:val="left"/>
      </w:pPr>
      <w:r>
        <w:rPr>
          <w:rFonts w:ascii="仿宋_GB2312" w:hAnsi="仿宋_GB2312" w:eastAsia="仿宋_GB2312" w:cs="仿宋_GB2312"/>
          <w:color w:val="000000"/>
          <w:sz w:val="32"/>
        </w:rPr>
        <w:t xml:space="preserve">13、深喀双创基地运营费项目绩效自评综述：根据年初设定的绩效目标，该项目绩效自评得分为73.92分。项目全年预算数为249.81万元，执行数为9.92万元，完成预算的3.97%。主要产出和效果：塑造了创业创新的氛围。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14、双创基地光纤接入费项目绩效自评综述：根据年初设定的绩效目标，该项目绩效自评得分为85分。项目全年预算数为2.4万元，执行数为0万元，完成预算的0%。主要产出和效果：喀什特区深喀科技创新服务中心为入驻企业提供了畅通的网络服务。主要用于支付光纤接入费用。发现的问题及原因：因项目未执行，没有制定项目资金管理办法。下一步改进措施： 该项目因中途停止未执行，现处于暂停状态。  </w:t>
      </w:r>
    </w:p>
    <w:p>
      <w:pPr>
        <w:spacing w:line="540" w:lineRule="exact"/>
        <w:ind w:right="-1" w:firstLine="640" w:firstLineChars="200"/>
        <w:jc w:val="left"/>
      </w:pPr>
      <w:r>
        <w:rPr>
          <w:rFonts w:ascii="仿宋_GB2312" w:hAnsi="仿宋_GB2312" w:eastAsia="仿宋_GB2312" w:cs="仿宋_GB2312"/>
          <w:color w:val="000000"/>
          <w:sz w:val="32"/>
        </w:rPr>
        <w:t xml:space="preserve">15、第五届深喀“创业之星”大赛奖金及举办费用项目绩效自评综述：根据年初设定的绩效目标，该项目绩效自评得分为76.4分。项目全年预算数为261.19万元，执行数为46.5万元，完成预算的17.8%。主要产出和效果：倡导大众创业，万众创新，加强对创业的支持和引导，提升经济开发区的影响力。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16、深圳产业园规划展示厅项目绩效自评综述：根据年初设定的绩效目标，该项目绩效自评得分为90分。项目全年预算数为84.61万元，执行数为84.61万元，完成预算的100%。主要产出和效果：促进了招商引资工作，强化了对本地方形象的宣传。发现的问题及原因：不存在问题及原因分析。下一步改进措施： 新增单位，无上年对比数据。  </w:t>
      </w:r>
    </w:p>
    <w:p>
      <w:pPr>
        <w:spacing w:line="540" w:lineRule="exact"/>
        <w:ind w:right="-1" w:firstLine="640" w:firstLineChars="200"/>
        <w:jc w:val="left"/>
      </w:pPr>
      <w:r>
        <w:rPr>
          <w:rFonts w:ascii="仿宋_GB2312" w:hAnsi="仿宋_GB2312" w:eastAsia="仿宋_GB2312" w:cs="仿宋_GB2312"/>
          <w:color w:val="000000"/>
          <w:sz w:val="32"/>
        </w:rPr>
        <w:t xml:space="preserve">17、协会会费项目绩效自评综述：根据年初设定的绩效目标，该项目绩效自评得分为87分。项目全年预算数为3.5万元，执行数为0万元，完成预算的0%。主要产出和效果：以喀什经济开发区名义积极参加各类协会，学习新鲜业务知识，促进开发区各项事务共同发展。发现的问题及原因：1、根据以往该类项目实施经验，不断量化、细化精准参会，对没有参会必要的协会予以退出。下一步改进措施：建议增加会员单位的多方交流，有效提升信息共享。资金使用管理工作有待改善。  </w:t>
      </w:r>
    </w:p>
    <w:p>
      <w:pPr>
        <w:spacing w:line="540" w:lineRule="exact"/>
        <w:ind w:right="-1" w:firstLine="640" w:firstLineChars="200"/>
        <w:jc w:val="left"/>
      </w:pPr>
      <w:r>
        <w:rPr>
          <w:rFonts w:ascii="仿宋_GB2312" w:hAnsi="仿宋_GB2312" w:eastAsia="仿宋_GB2312" w:cs="仿宋_GB2312"/>
          <w:color w:val="000000"/>
          <w:sz w:val="32"/>
        </w:rPr>
        <w:t xml:space="preserve">18、科创中心专家公寓装修工程项目绩效自评综述：根据年初设定的绩效目标，该项目绩效自评得分为90分。项目全年预算数为22.31万元，执行数为22.31万元，完成预算的100%。主要产出和效果：人员在职情况得到提升。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19、纺织服装运费补贴和电费补贴资金项目绩效自评综述：根据年初设定的绩效目标，该项目绩效自评得分为87分。项目全年预算数为2,671.44万元，执行数为169.59万元，完成预算的6.35%。主要产出和效果：解决就业问题，对企业的扶持起到很大的作用。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20、前期费（一）项目绩效自评综述：根据年初设定的绩效目标，该项目绩效自评得分为77.9分。项目全年预算数为1,000万元，执行数为330.39万元，完成预算的33.04%。主要产出和效果：保证项目获批，争取资金支持。发现的问题及原因：不存在问题及原因分析。下一步改进措施：无建议。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04（款）01（项）指：行政运行。201（类）03（款）05（项）指：专项业务活动。201（类）04（款）04（项）指：战略规划与实施。212（类）99（款）99（项）指：其他城乡社区支出。215（类）08（款）05（项）指：中小企业发展专项。206（类）01（款）99（项）指：其他科学技术管理事务支出。221（类）02（款）01（项）指：住房公积金。215（类）02（款）04（项）指：纺织业。229（类）99（款）01（项）指：其他支出。201（类）04（款）99（项）指：其他发展与改革事务支出。201（类）99（款）99（项）指：其他一般公共服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xhbXJetMCzu1wFHA7KXrvIaQ6E8=" w:salt="9zF8Vmp8tYeMbzfAAPYZq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45E10"/>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49DD"/>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1122"/>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05AC1"/>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543537"/>
    <w:rsid w:val="0FFB575E"/>
    <w:rsid w:val="10845F1B"/>
    <w:rsid w:val="11463A00"/>
    <w:rsid w:val="11600918"/>
    <w:rsid w:val="11B0398F"/>
    <w:rsid w:val="127772C1"/>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8B0970"/>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CDE3E06"/>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1328</Words>
  <Characters>7570</Characters>
  <Lines>63</Lines>
  <Paragraphs>17</Paragraphs>
  <TotalTime>487</TotalTime>
  <ScaleCrop>false</ScaleCrop>
  <LinksUpToDate>false</LinksUpToDate>
  <CharactersWithSpaces>8881</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2021-05-30T02:52:45Z</dcterms:modified>
  <cp:revision>850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