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AEF" w:rsidRDefault="00053AEF">
      <w:pPr>
        <w:spacing w:line="540" w:lineRule="exact"/>
        <w:jc w:val="center"/>
        <w:rPr>
          <w:rFonts w:ascii="华文中宋" w:eastAsia="华文中宋" w:hAnsi="华文中宋" w:cs="宋体"/>
          <w:b/>
          <w:kern w:val="0"/>
          <w:sz w:val="52"/>
          <w:szCs w:val="52"/>
        </w:rPr>
      </w:pPr>
    </w:p>
    <w:p w:rsidR="00053AEF" w:rsidRDefault="00053AEF">
      <w:pPr>
        <w:spacing w:line="540" w:lineRule="exact"/>
        <w:jc w:val="center"/>
        <w:rPr>
          <w:rFonts w:ascii="华文中宋" w:eastAsia="华文中宋" w:hAnsi="华文中宋" w:cs="宋体"/>
          <w:b/>
          <w:kern w:val="0"/>
          <w:sz w:val="52"/>
          <w:szCs w:val="52"/>
        </w:rPr>
      </w:pPr>
    </w:p>
    <w:p w:rsidR="00053AEF" w:rsidRDefault="00053AEF">
      <w:pPr>
        <w:spacing w:line="540" w:lineRule="exact"/>
        <w:jc w:val="center"/>
        <w:rPr>
          <w:rFonts w:ascii="华文中宋" w:eastAsia="华文中宋" w:hAnsi="华文中宋" w:cs="宋体"/>
          <w:b/>
          <w:kern w:val="0"/>
          <w:sz w:val="52"/>
          <w:szCs w:val="52"/>
        </w:rPr>
      </w:pPr>
    </w:p>
    <w:p w:rsidR="00053AEF" w:rsidRDefault="00053AEF">
      <w:pPr>
        <w:spacing w:line="540" w:lineRule="exact"/>
        <w:jc w:val="center"/>
        <w:rPr>
          <w:rFonts w:ascii="华文中宋" w:eastAsia="华文中宋" w:hAnsi="华文中宋" w:cs="宋体"/>
          <w:b/>
          <w:kern w:val="0"/>
          <w:sz w:val="52"/>
          <w:szCs w:val="52"/>
        </w:rPr>
      </w:pPr>
    </w:p>
    <w:p w:rsidR="00053AEF" w:rsidRDefault="00053AEF">
      <w:pPr>
        <w:spacing w:line="540" w:lineRule="exact"/>
        <w:jc w:val="center"/>
        <w:rPr>
          <w:rFonts w:ascii="华文中宋" w:eastAsia="华文中宋" w:hAnsi="华文中宋" w:cs="宋体"/>
          <w:b/>
          <w:kern w:val="0"/>
          <w:sz w:val="52"/>
          <w:szCs w:val="52"/>
        </w:rPr>
      </w:pPr>
    </w:p>
    <w:p w:rsidR="00053AEF" w:rsidRDefault="00053AEF">
      <w:pPr>
        <w:spacing w:line="540" w:lineRule="exact"/>
        <w:jc w:val="center"/>
        <w:rPr>
          <w:rFonts w:ascii="华文中宋" w:eastAsia="华文中宋" w:hAnsi="华文中宋" w:cs="宋体"/>
          <w:b/>
          <w:kern w:val="0"/>
          <w:sz w:val="52"/>
          <w:szCs w:val="52"/>
        </w:rPr>
      </w:pPr>
    </w:p>
    <w:p w:rsidR="00053AEF" w:rsidRDefault="005D62D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053AEF" w:rsidRDefault="00053AEF">
      <w:pPr>
        <w:spacing w:line="540" w:lineRule="exact"/>
        <w:jc w:val="center"/>
        <w:rPr>
          <w:rFonts w:ascii="华文中宋" w:eastAsia="华文中宋" w:hAnsi="华文中宋" w:cs="宋体"/>
          <w:b/>
          <w:kern w:val="0"/>
          <w:sz w:val="52"/>
          <w:szCs w:val="52"/>
        </w:rPr>
      </w:pPr>
    </w:p>
    <w:p w:rsidR="00053AEF" w:rsidRDefault="005D62D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053AEF" w:rsidRDefault="00053AEF">
      <w:pPr>
        <w:spacing w:line="540" w:lineRule="exact"/>
        <w:jc w:val="center"/>
        <w:rPr>
          <w:rFonts w:eastAsia="仿宋_GB2312" w:hAnsi="宋体" w:cs="宋体"/>
          <w:kern w:val="0"/>
          <w:sz w:val="30"/>
          <w:szCs w:val="30"/>
        </w:rPr>
      </w:pPr>
    </w:p>
    <w:p w:rsidR="00053AEF" w:rsidRDefault="00053AEF">
      <w:pPr>
        <w:spacing w:line="540" w:lineRule="exact"/>
        <w:jc w:val="center"/>
        <w:rPr>
          <w:rFonts w:eastAsia="仿宋_GB2312" w:hAnsi="宋体" w:cs="宋体"/>
          <w:kern w:val="0"/>
          <w:sz w:val="30"/>
          <w:szCs w:val="30"/>
        </w:rPr>
      </w:pPr>
    </w:p>
    <w:p w:rsidR="00053AEF" w:rsidRDefault="00053AEF">
      <w:pPr>
        <w:spacing w:line="540" w:lineRule="exact"/>
        <w:jc w:val="center"/>
        <w:rPr>
          <w:rFonts w:eastAsia="仿宋_GB2312" w:hAnsi="宋体" w:cs="宋体"/>
          <w:kern w:val="0"/>
          <w:sz w:val="30"/>
          <w:szCs w:val="30"/>
        </w:rPr>
      </w:pPr>
    </w:p>
    <w:p w:rsidR="00053AEF" w:rsidRDefault="00053AEF">
      <w:pPr>
        <w:spacing w:line="540" w:lineRule="exact"/>
        <w:jc w:val="center"/>
        <w:rPr>
          <w:rFonts w:eastAsia="仿宋_GB2312" w:hAnsi="宋体" w:cs="宋体"/>
          <w:kern w:val="0"/>
          <w:sz w:val="30"/>
          <w:szCs w:val="30"/>
        </w:rPr>
      </w:pPr>
    </w:p>
    <w:p w:rsidR="00053AEF" w:rsidRDefault="00053AEF">
      <w:pPr>
        <w:spacing w:line="540" w:lineRule="exact"/>
        <w:jc w:val="center"/>
        <w:rPr>
          <w:rFonts w:eastAsia="仿宋_GB2312" w:hAnsi="宋体" w:cs="宋体"/>
          <w:kern w:val="0"/>
          <w:sz w:val="30"/>
          <w:szCs w:val="30"/>
        </w:rPr>
      </w:pPr>
    </w:p>
    <w:p w:rsidR="00053AEF" w:rsidRDefault="00053AEF">
      <w:pPr>
        <w:spacing w:line="540" w:lineRule="exact"/>
        <w:jc w:val="center"/>
        <w:rPr>
          <w:rFonts w:eastAsia="仿宋_GB2312" w:hAnsi="宋体" w:cs="宋体"/>
          <w:kern w:val="0"/>
          <w:sz w:val="30"/>
          <w:szCs w:val="30"/>
        </w:rPr>
      </w:pPr>
    </w:p>
    <w:p w:rsidR="00053AEF" w:rsidRDefault="00053AEF">
      <w:pPr>
        <w:pStyle w:val="2"/>
        <w:ind w:firstLine="600"/>
        <w:rPr>
          <w:rFonts w:eastAsia="仿宋_GB2312" w:hAnsi="宋体" w:cs="宋体"/>
          <w:kern w:val="0"/>
          <w:sz w:val="30"/>
          <w:szCs w:val="30"/>
        </w:rPr>
      </w:pPr>
    </w:p>
    <w:p w:rsidR="00053AEF" w:rsidRDefault="00053AEF">
      <w:pPr>
        <w:pStyle w:val="a4"/>
      </w:pPr>
    </w:p>
    <w:p w:rsidR="00053AEF" w:rsidRDefault="00053AEF">
      <w:pPr>
        <w:spacing w:line="540" w:lineRule="exact"/>
        <w:rPr>
          <w:rFonts w:eastAsia="仿宋_GB2312" w:hAnsi="宋体" w:cs="宋体"/>
          <w:kern w:val="0"/>
          <w:sz w:val="30"/>
          <w:szCs w:val="30"/>
        </w:rPr>
      </w:pPr>
    </w:p>
    <w:p w:rsidR="00053AEF" w:rsidRDefault="005D62D5">
      <w:pPr>
        <w:spacing w:line="560" w:lineRule="exact"/>
        <w:ind w:firstLine="555"/>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sidR="00C277E0" w:rsidRPr="00C277E0">
        <w:rPr>
          <w:rFonts w:eastAsia="仿宋_GB2312" w:hAnsi="宋体" w:cs="宋体" w:hint="eastAsia"/>
          <w:kern w:val="0"/>
          <w:sz w:val="36"/>
          <w:szCs w:val="36"/>
        </w:rPr>
        <w:t>前期费（二）项目支出</w:t>
      </w:r>
    </w:p>
    <w:p w:rsidR="00053AEF" w:rsidRDefault="005D62D5">
      <w:pPr>
        <w:spacing w:line="56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w:t>
      </w:r>
    </w:p>
    <w:p w:rsidR="00053AEF" w:rsidRDefault="005D62D5">
      <w:pPr>
        <w:spacing w:line="56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053AEF" w:rsidRDefault="005D62D5">
      <w:pPr>
        <w:spacing w:line="56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053AEF" w:rsidRDefault="005D62D5">
      <w:pPr>
        <w:spacing w:line="56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p>
    <w:p w:rsidR="00053AEF" w:rsidRDefault="00053AEF">
      <w:pPr>
        <w:pStyle w:val="2"/>
      </w:pPr>
    </w:p>
    <w:p w:rsidR="00053AEF" w:rsidRDefault="00053AEF">
      <w:pPr>
        <w:spacing w:line="360" w:lineRule="auto"/>
        <w:ind w:firstLine="640"/>
        <w:rPr>
          <w:rStyle w:val="af5"/>
          <w:rFonts w:ascii="黑体" w:eastAsia="黑体" w:hAnsi="黑体"/>
          <w:b w:val="0"/>
          <w:spacing w:val="-4"/>
          <w:sz w:val="32"/>
          <w:szCs w:val="32"/>
        </w:rPr>
        <w:sectPr w:rsidR="00053AEF">
          <w:pgSz w:w="11906" w:h="16838"/>
          <w:pgMar w:top="1440" w:right="1558" w:bottom="1440" w:left="1800" w:header="851" w:footer="992" w:gutter="0"/>
          <w:cols w:space="425"/>
          <w:docGrid w:type="lines" w:linePitch="312"/>
        </w:sectPr>
      </w:pPr>
    </w:p>
    <w:p w:rsidR="00053AEF" w:rsidRDefault="005D62D5">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一、项目概况</w:t>
      </w:r>
    </w:p>
    <w:p w:rsidR="00053AEF" w:rsidRDefault="005D62D5">
      <w:pPr>
        <w:spacing w:line="360" w:lineRule="auto"/>
        <w:ind w:firstLine="567"/>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（一）项目单位基本情况</w:t>
      </w:r>
    </w:p>
    <w:p w:rsidR="00872F11" w:rsidRPr="00872F11" w:rsidRDefault="00872F11" w:rsidP="00872F11">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872F11">
        <w:rPr>
          <w:rFonts w:ascii="仿宋" w:eastAsia="仿宋" w:hAnsi="仿宋" w:hint="eastAsia"/>
          <w:bCs/>
          <w:spacing w:val="-4"/>
          <w:sz w:val="32"/>
          <w:szCs w:val="32"/>
        </w:rPr>
        <w:t>喀什经济开发区发展改革和经济促进局是喀什经济开发区管委会下属行政单位。</w:t>
      </w:r>
      <w:r w:rsidRPr="00872F11">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872F11" w:rsidRPr="00872F11" w:rsidRDefault="00872F11" w:rsidP="00872F11">
      <w:pPr>
        <w:widowControl/>
        <w:shd w:val="clear" w:color="auto" w:fill="FFFFFF"/>
        <w:ind w:firstLineChars="200" w:firstLine="640"/>
        <w:jc w:val="left"/>
        <w:rPr>
          <w:rFonts w:ascii="仿宋" w:eastAsia="仿宋" w:hAnsi="仿宋" w:cs="仿宋"/>
          <w:color w:val="000000"/>
          <w:sz w:val="32"/>
          <w:szCs w:val="32"/>
          <w:shd w:val="clear" w:color="auto" w:fill="FFFFFF"/>
        </w:rPr>
      </w:pPr>
      <w:r w:rsidRPr="00872F11">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872F11">
        <w:rPr>
          <w:rFonts w:ascii="仿宋" w:eastAsia="仿宋" w:hAnsi="仿宋" w:cs="仿宋"/>
          <w:color w:val="000000"/>
          <w:sz w:val="32"/>
          <w:szCs w:val="32"/>
          <w:shd w:val="clear" w:color="auto" w:fill="FFFFFF"/>
        </w:rPr>
        <w:t>。</w:t>
      </w:r>
    </w:p>
    <w:p w:rsidR="00053AEF" w:rsidRDefault="005D62D5">
      <w:pPr>
        <w:spacing w:line="360" w:lineRule="auto"/>
        <w:ind w:firstLineChars="181" w:firstLine="565"/>
        <w:rPr>
          <w:rStyle w:val="af5"/>
          <w:rFonts w:ascii="楷体" w:eastAsia="楷体" w:hAnsi="楷体"/>
          <w:spacing w:val="-4"/>
          <w:sz w:val="32"/>
          <w:szCs w:val="32"/>
        </w:rPr>
      </w:pPr>
      <w:r>
        <w:rPr>
          <w:rStyle w:val="af5"/>
          <w:rFonts w:ascii="楷体" w:eastAsia="楷体" w:hAnsi="楷体" w:hint="eastAsia"/>
          <w:b w:val="0"/>
          <w:bCs w:val="0"/>
          <w:spacing w:val="-4"/>
          <w:sz w:val="32"/>
          <w:szCs w:val="32"/>
        </w:rPr>
        <w:t>（二）项目预算</w:t>
      </w:r>
      <w:r>
        <w:rPr>
          <w:rStyle w:val="af5"/>
          <w:rFonts w:ascii="楷体" w:eastAsia="楷体" w:hAnsi="楷体"/>
          <w:b w:val="0"/>
          <w:bCs w:val="0"/>
          <w:spacing w:val="-4"/>
          <w:sz w:val="32"/>
          <w:szCs w:val="32"/>
        </w:rPr>
        <w:t>绩效目标</w:t>
      </w:r>
      <w:r>
        <w:rPr>
          <w:rStyle w:val="af5"/>
          <w:rFonts w:ascii="楷体" w:eastAsia="楷体" w:hAnsi="楷体" w:hint="eastAsia"/>
          <w:b w:val="0"/>
          <w:bCs w:val="0"/>
          <w:spacing w:val="-4"/>
          <w:sz w:val="32"/>
          <w:szCs w:val="32"/>
        </w:rPr>
        <w:t>设定情况</w:t>
      </w:r>
    </w:p>
    <w:p w:rsidR="00053AEF" w:rsidRDefault="005D62D5">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预期目标：</w:t>
      </w:r>
      <w:r>
        <w:rPr>
          <w:rStyle w:val="af5"/>
          <w:rFonts w:ascii="仿宋_GB2312" w:eastAsia="仿宋_GB2312" w:hAnsi="仿宋_GB2312" w:cs="仿宋_GB2312" w:hint="eastAsia"/>
          <w:b w:val="0"/>
          <w:spacing w:val="-4"/>
          <w:sz w:val="32"/>
          <w:szCs w:val="32"/>
        </w:rPr>
        <w:t>编制《喀什经济开发区总体发展规划（2018-2020）实施方案》、《喀什经济开发区总体发展规划（2021-2030年）》。</w:t>
      </w:r>
    </w:p>
    <w:p w:rsidR="00053AEF" w:rsidRDefault="005D62D5">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阶段性目标：</w:t>
      </w:r>
      <w:r>
        <w:rPr>
          <w:rStyle w:val="af5"/>
          <w:rFonts w:ascii="仿宋_GB2312" w:eastAsia="仿宋_GB2312" w:hAnsi="仿宋_GB2312" w:cs="仿宋_GB2312" w:hint="eastAsia"/>
          <w:b w:val="0"/>
          <w:spacing w:val="-4"/>
          <w:sz w:val="32"/>
          <w:szCs w:val="32"/>
        </w:rPr>
        <w:t>《喀什经济开发区总体发展规划（2018-2020）实施方案》2018年5月1日前提交；《喀什经济开发区总体发展规划（2021-2030年）》预计2019年8月前提交。</w:t>
      </w:r>
    </w:p>
    <w:p w:rsidR="00053AEF" w:rsidRDefault="005D62D5">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项目基本性质</w:t>
      </w:r>
      <w:r>
        <w:rPr>
          <w:rStyle w:val="af5"/>
          <w:rFonts w:ascii="仿宋_GB2312" w:eastAsia="仿宋_GB2312" w:hAnsi="仿宋_GB2312" w:cs="仿宋_GB2312" w:hint="eastAsia"/>
          <w:b w:val="0"/>
          <w:spacing w:val="-4"/>
          <w:sz w:val="32"/>
          <w:szCs w:val="32"/>
        </w:rPr>
        <w:t>：</w:t>
      </w:r>
      <w:r w:rsidR="003D6C18">
        <w:rPr>
          <w:rStyle w:val="af5"/>
          <w:rFonts w:ascii="仿宋_GB2312" w:eastAsia="仿宋_GB2312" w:hAnsi="仿宋_GB2312" w:cs="仿宋_GB2312" w:hint="eastAsia"/>
          <w:b w:val="0"/>
          <w:spacing w:val="-4"/>
          <w:sz w:val="32"/>
          <w:szCs w:val="32"/>
        </w:rPr>
        <w:t>新增项目</w:t>
      </w:r>
    </w:p>
    <w:p w:rsidR="00053AEF" w:rsidRDefault="005D62D5">
      <w:pPr>
        <w:spacing w:line="360" w:lineRule="auto"/>
        <w:ind w:firstLineChars="200" w:firstLine="627"/>
        <w:rPr>
          <w:rFonts w:ascii="仿宋_GB2312" w:eastAsia="仿宋_GB2312" w:hAnsi="宋体"/>
          <w:sz w:val="30"/>
          <w:szCs w:val="30"/>
        </w:rPr>
      </w:pPr>
      <w:r>
        <w:rPr>
          <w:rStyle w:val="af5"/>
          <w:rFonts w:ascii="仿宋" w:eastAsia="仿宋" w:hAnsi="仿宋" w:hint="eastAsia"/>
          <w:bCs w:val="0"/>
          <w:spacing w:val="-4"/>
          <w:sz w:val="32"/>
          <w:szCs w:val="32"/>
        </w:rPr>
        <w:t>用途和主要内容：</w:t>
      </w:r>
      <w:r>
        <w:rPr>
          <w:rFonts w:ascii="仿宋_GB2312" w:eastAsia="仿宋_GB2312" w:hAnsi="宋体" w:hint="eastAsia"/>
          <w:sz w:val="30"/>
          <w:szCs w:val="30"/>
        </w:rPr>
        <w:t>《新疆喀什经济开发区总体发展规划</w:t>
      </w:r>
      <w:r>
        <w:rPr>
          <w:rFonts w:ascii="仿宋_GB2312" w:eastAsia="仿宋_GB2312" w:hAnsi="宋体" w:hint="eastAsia"/>
          <w:sz w:val="30"/>
          <w:szCs w:val="30"/>
        </w:rPr>
        <w:lastRenderedPageBreak/>
        <w:t>（2018-2020年）实施方案》：全面总结经济开发区对喀什市、克州乌恰县和兵团分区发展、新疆以及“一带一路”建设的重要作用，系统分析存在的突出问题，诠释面临的新形势新任务，尤其是在习近平新时代中国特色社会主义思想指导下，赋予经济开发区的新使命新定位，论证调整开发区2018-2020年规划指标，深化《喀什经济开发区总体发展规划（2011-2020年）》各项任务，加快推进基础设施、公共服务设施、资源与生态环境、对外开放和开发管理等重点工程和项目，谋划2021-2030年经济开发区发展的总体思路，形成总体规划后三年（2018-2020年）的实施方案。</w:t>
      </w:r>
    </w:p>
    <w:p w:rsidR="00053AEF" w:rsidRDefault="005D62D5">
      <w:pPr>
        <w:spacing w:line="360" w:lineRule="auto"/>
        <w:ind w:firstLineChars="200" w:firstLine="600"/>
        <w:rPr>
          <w:rStyle w:val="af5"/>
          <w:rFonts w:ascii="仿宋" w:eastAsia="仿宋" w:hAnsi="仿宋"/>
          <w:b w:val="0"/>
          <w:spacing w:val="-4"/>
          <w:sz w:val="32"/>
          <w:szCs w:val="32"/>
        </w:rPr>
      </w:pPr>
      <w:r>
        <w:rPr>
          <w:rFonts w:ascii="仿宋_GB2312" w:eastAsia="仿宋_GB2312" w:hint="eastAsia"/>
          <w:sz w:val="30"/>
        </w:rPr>
        <w:t>《新疆喀什经济开发区总体发展规划（2021-2030年）》</w:t>
      </w:r>
      <w:r>
        <w:rPr>
          <w:rFonts w:ascii="仿宋_GB2312" w:eastAsia="仿宋_GB2312" w:hAnsi="宋体" w:hint="eastAsia"/>
          <w:sz w:val="30"/>
          <w:szCs w:val="30"/>
        </w:rPr>
        <w:t>结合新时代需求、新时代使命、新时代目标，确定经济开发区新战略定位、新范围规模、新区域空间布局，以高质量发展理念为指导，科学规划布局战略性新兴产业、国际物流金融服务业、汽车等产品进出口基地，进一步加强开发开放，打造创新型喀什新平台，构筑“一带一路”经济“航母”。重点建设园区基础设施、生态环境，研究制定国际物流区、经贸区、金融区、工业园区、临空经济区。加快发展矿产品、进口农副产品深加工和出口机电产品配套组织加工等外向型特色优势产业，培育发展新能源产业，生物医药等战略性新兴产业。提升发展纺织服装、民族特色产品加工等传统特色优势产业，助推经济转型升级。积极发展国际会展经济、国际旅游文化产业、国际金融贸易、大型物流园区等国际现代服务业。加强国际经贸合作，推进贸易转型升级，积极利用</w:t>
      </w:r>
      <w:r>
        <w:rPr>
          <w:rFonts w:ascii="仿宋_GB2312" w:eastAsia="仿宋_GB2312" w:hAnsi="宋体" w:hint="eastAsia"/>
          <w:sz w:val="30"/>
          <w:szCs w:val="30"/>
        </w:rPr>
        <w:lastRenderedPageBreak/>
        <w:t>外资和对外投资，加快建设贸易合作平台，大力发展跨境电子商务，提升对外开放水平。加快基础设施建设，夯实开放发展根基；统筹推进城乡建设，提升发展品质；着力保障民生改善，维护边疆安全；加强生态建设和环境保护，建设美丽边疆新城；强化体制机制创新，激发新活力新动能。探寻需要国家层面支持经济开发区的新政策；以及自治区的新举措。</w:t>
      </w:r>
    </w:p>
    <w:p w:rsidR="00053AEF" w:rsidRDefault="005D62D5">
      <w:pPr>
        <w:spacing w:line="360" w:lineRule="auto"/>
        <w:ind w:firstLineChars="200" w:firstLine="627"/>
        <w:rPr>
          <w:rStyle w:val="af5"/>
          <w:rFonts w:ascii="仿宋" w:eastAsia="仿宋" w:hAnsi="仿宋"/>
          <w:b w:val="0"/>
          <w:spacing w:val="-4"/>
          <w:sz w:val="32"/>
          <w:szCs w:val="32"/>
        </w:rPr>
      </w:pPr>
      <w:r>
        <w:rPr>
          <w:rStyle w:val="af5"/>
          <w:rFonts w:ascii="仿宋_GB2312" w:eastAsia="仿宋_GB2312" w:hAnsi="仿宋_GB2312" w:cs="仿宋_GB2312" w:hint="eastAsia"/>
          <w:bCs w:val="0"/>
          <w:spacing w:val="-4"/>
          <w:sz w:val="32"/>
          <w:szCs w:val="32"/>
        </w:rPr>
        <w:t>涉及范围</w:t>
      </w:r>
      <w:r>
        <w:rPr>
          <w:rStyle w:val="af5"/>
          <w:rFonts w:ascii="仿宋_GB2312" w:eastAsia="仿宋_GB2312" w:hAnsi="仿宋_GB2312" w:cs="仿宋_GB2312" w:hint="eastAsia"/>
          <w:b w:val="0"/>
          <w:spacing w:val="-4"/>
          <w:sz w:val="32"/>
          <w:szCs w:val="32"/>
        </w:rPr>
        <w:t>：总体发展规划。</w:t>
      </w:r>
    </w:p>
    <w:p w:rsidR="00053AEF" w:rsidRDefault="005D62D5">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二、项目资金使用及管理情况</w:t>
      </w:r>
    </w:p>
    <w:p w:rsidR="00053AEF" w:rsidRDefault="005D62D5">
      <w:pPr>
        <w:spacing w:line="360" w:lineRule="auto"/>
        <w:ind w:firstLineChars="181" w:firstLine="565"/>
        <w:rPr>
          <w:rStyle w:val="af5"/>
          <w:rFonts w:ascii="楷体" w:eastAsia="楷体" w:hAnsi="楷体"/>
          <w:spacing w:val="-4"/>
          <w:sz w:val="32"/>
          <w:szCs w:val="32"/>
        </w:rPr>
      </w:pPr>
      <w:r>
        <w:rPr>
          <w:rStyle w:val="af5"/>
          <w:rFonts w:ascii="楷体" w:eastAsia="楷体" w:hAnsi="楷体" w:hint="eastAsia"/>
          <w:b w:val="0"/>
          <w:bCs w:val="0"/>
          <w:spacing w:val="-4"/>
          <w:sz w:val="32"/>
          <w:szCs w:val="32"/>
        </w:rPr>
        <w:t>（一）项目资金安排落实、总投入等情况分析</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2018年度，发促局该项目预算金额260万元，共投入182万元，属于专项援疆资金；本单位没有配套资金。</w:t>
      </w:r>
    </w:p>
    <w:p w:rsidR="00053AEF" w:rsidRDefault="005D62D5">
      <w:pPr>
        <w:spacing w:line="360" w:lineRule="auto"/>
        <w:ind w:firstLineChars="181" w:firstLine="565"/>
        <w:rPr>
          <w:rStyle w:val="af5"/>
          <w:rFonts w:ascii="楷体" w:eastAsia="楷体" w:hAnsi="楷体"/>
          <w:spacing w:val="-4"/>
          <w:sz w:val="32"/>
          <w:szCs w:val="32"/>
        </w:rPr>
      </w:pPr>
      <w:r>
        <w:rPr>
          <w:rStyle w:val="af5"/>
          <w:rFonts w:ascii="楷体" w:eastAsia="楷体" w:hAnsi="楷体" w:hint="eastAsia"/>
          <w:b w:val="0"/>
          <w:bCs w:val="0"/>
          <w:spacing w:val="-4"/>
          <w:sz w:val="32"/>
          <w:szCs w:val="32"/>
        </w:rPr>
        <w:t>（二）项目资金实际使用情况分析</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援疆资金。合同总额为260万元，主要用于总体发展规划。合同规定：合同生效后10个工作日内，我方支付182万元；项目成果经专家评审会通过、修改完善、验收合格后提供给我方10个工作日内，我方再支付78万元。</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从实际资金使用效果来看，按时完成了《喀什经济开发区总体发展规划（2018-2020）实施方案》，方案已经报送新疆维吾尔自治区喀什、霍尔果斯经济开发区发展建设领导小组办公室，相关指标调整的建议已经报国家发改委。《喀什经济开发区总体发展规划（2021-2030年）》编制完成初次调研，因新规划涉及国家赋予开发区政策延续、四至范围调整、产业发展定</w:t>
      </w:r>
      <w:r>
        <w:rPr>
          <w:rStyle w:val="af5"/>
          <w:rFonts w:ascii="仿宋_GB2312" w:eastAsia="仿宋_GB2312" w:hAnsi="仿宋_GB2312" w:cs="仿宋_GB2312" w:hint="eastAsia"/>
          <w:b w:val="0"/>
          <w:spacing w:val="-4"/>
          <w:sz w:val="32"/>
          <w:szCs w:val="32"/>
        </w:rPr>
        <w:lastRenderedPageBreak/>
        <w:t>位等，设计单需与国家发改委、自治区发改委充分后再做修订完善，新一轮规划是喀什经济开发区二次创业的纲领性文件，该项目还未完成，还未支付剩余78万元。</w:t>
      </w:r>
    </w:p>
    <w:p w:rsidR="00053AEF" w:rsidRDefault="005D62D5">
      <w:pPr>
        <w:spacing w:line="360" w:lineRule="auto"/>
        <w:ind w:firstLineChars="200" w:firstLine="624"/>
        <w:rPr>
          <w:rStyle w:val="af5"/>
          <w:rFonts w:ascii="楷体" w:eastAsia="楷体" w:hAnsi="楷体"/>
          <w:spacing w:val="-4"/>
          <w:sz w:val="32"/>
          <w:szCs w:val="32"/>
        </w:rPr>
      </w:pPr>
      <w:r>
        <w:rPr>
          <w:rStyle w:val="af5"/>
          <w:rFonts w:ascii="楷体" w:eastAsia="楷体" w:hAnsi="楷体" w:hint="eastAsia"/>
          <w:b w:val="0"/>
          <w:bCs w:val="0"/>
          <w:spacing w:val="-4"/>
          <w:sz w:val="32"/>
          <w:szCs w:val="32"/>
        </w:rPr>
        <w:t>（三）项目资金管理情况分析</w:t>
      </w:r>
    </w:p>
    <w:p w:rsidR="00053AEF" w:rsidRDefault="005D62D5">
      <w:pPr>
        <w:spacing w:line="360" w:lineRule="auto"/>
        <w:ind w:firstLineChars="200" w:firstLine="62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管理制度：</w:t>
      </w:r>
      <w:r>
        <w:rPr>
          <w:rStyle w:val="af5"/>
          <w:rFonts w:ascii="仿宋_GB2312" w:eastAsia="仿宋_GB2312" w:hAnsi="仿宋_GB2312" w:cs="仿宋_GB2312" w:hint="eastAsia"/>
          <w:b w:val="0"/>
          <w:spacing w:val="-4"/>
          <w:sz w:val="32"/>
          <w:szCs w:val="32"/>
        </w:rPr>
        <w:t>事前及时报备、事中严格执行、事后成果汇总。</w:t>
      </w:r>
    </w:p>
    <w:p w:rsidR="00053AEF" w:rsidRDefault="005D62D5">
      <w:pPr>
        <w:spacing w:line="360" w:lineRule="auto"/>
        <w:ind w:firstLine="610"/>
        <w:rPr>
          <w:rStyle w:val="af5"/>
          <w:rFonts w:ascii="仿宋_GB2312" w:eastAsia="仿宋_GB2312" w:hAnsi="仿宋_GB2312" w:cs="仿宋_GB2312"/>
          <w:spacing w:val="-4"/>
          <w:sz w:val="32"/>
          <w:szCs w:val="32"/>
        </w:rPr>
      </w:pPr>
      <w:r>
        <w:rPr>
          <w:rStyle w:val="af5"/>
          <w:rFonts w:ascii="仿宋_GB2312" w:eastAsia="仿宋_GB2312" w:hAnsi="仿宋_GB2312" w:cs="仿宋_GB2312" w:hint="eastAsia"/>
          <w:spacing w:val="-4"/>
          <w:sz w:val="32"/>
          <w:szCs w:val="32"/>
        </w:rPr>
        <w:t>工作办法：</w:t>
      </w:r>
    </w:p>
    <w:p w:rsidR="00053AEF" w:rsidRDefault="005D62D5">
      <w:pPr>
        <w:spacing w:line="360" w:lineRule="auto"/>
        <w:ind w:firstLine="610"/>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1、事先报备项目前期费使用方案，确定前期项目的建设内容及资金投入，经本级主管领导审批后，报管委会会议研究，会议研究确定后按照会议纪要确定内容进行规划或可行性研究报告编制；</w:t>
      </w:r>
    </w:p>
    <w:p w:rsidR="00053AEF" w:rsidRDefault="005D62D5">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2、根据《中华人民共和国政府采购法》以及相关规定进行服务采购；</w:t>
      </w:r>
    </w:p>
    <w:p w:rsidR="00053AEF" w:rsidRDefault="005D62D5">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3、委托招标代理公司启动招标流程，与编制单位签订合同，按照合同进度进行付款；</w:t>
      </w:r>
    </w:p>
    <w:p w:rsidR="00053AEF" w:rsidRDefault="005D62D5">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4、编制单位提交成果后，报管委会层面进行初审，听取管委会意见进行成果修改，修改完成后经过审议确定提交正式成果，然后进行项目工作开展。</w:t>
      </w:r>
    </w:p>
    <w:p w:rsidR="00053AEF" w:rsidRDefault="005D62D5">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三、项目组织实施情况</w:t>
      </w:r>
    </w:p>
    <w:p w:rsidR="00053AEF" w:rsidRDefault="005D62D5">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（一）项目组织情况分析</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30万以上的项目通过公开招标的形式进行采购，30万以下通过其他形式进行采购；验收方式按照项目实际是否通过专家评审和获得发改部门审批作为项目验收的直观依据。</w:t>
      </w:r>
    </w:p>
    <w:p w:rsidR="00053AEF" w:rsidRDefault="005D62D5">
      <w:pPr>
        <w:spacing w:line="360" w:lineRule="auto"/>
        <w:ind w:firstLineChars="200" w:firstLine="624"/>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lastRenderedPageBreak/>
        <w:t>（二）项目管理情况分析</w:t>
      </w:r>
    </w:p>
    <w:p w:rsidR="00053AEF" w:rsidRDefault="005D62D5">
      <w:pPr>
        <w:spacing w:line="360" w:lineRule="auto"/>
        <w:ind w:firstLine="610"/>
        <w:rPr>
          <w:rStyle w:val="af5"/>
          <w:rFonts w:ascii="仿宋_GB2312" w:eastAsia="仿宋_GB2312" w:hAnsi="仿宋_GB2312" w:cs="仿宋_GB2312"/>
          <w:bCs w:val="0"/>
          <w:spacing w:val="-4"/>
          <w:sz w:val="32"/>
          <w:szCs w:val="32"/>
        </w:rPr>
      </w:pPr>
      <w:r>
        <w:rPr>
          <w:rStyle w:val="af5"/>
          <w:rFonts w:ascii="仿宋_GB2312" w:eastAsia="仿宋_GB2312" w:hAnsi="仿宋_GB2312" w:cs="仿宋_GB2312" w:hint="eastAsia"/>
          <w:bCs w:val="0"/>
          <w:spacing w:val="-4"/>
          <w:sz w:val="32"/>
          <w:szCs w:val="32"/>
        </w:rPr>
        <w:t>项目管理制度建设：</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严格按照政府采购程序完成采购。</w:t>
      </w:r>
    </w:p>
    <w:p w:rsidR="00053AEF" w:rsidRDefault="005D62D5">
      <w:pPr>
        <w:spacing w:line="360" w:lineRule="auto"/>
        <w:ind w:firstLineChars="200" w:firstLine="627"/>
        <w:rPr>
          <w:rStyle w:val="af5"/>
          <w:rFonts w:ascii="仿宋_GB2312" w:eastAsia="仿宋_GB2312" w:hAnsi="仿宋_GB2312" w:cs="仿宋_GB2312"/>
          <w:bCs w:val="0"/>
          <w:spacing w:val="-4"/>
          <w:sz w:val="32"/>
          <w:szCs w:val="32"/>
        </w:rPr>
      </w:pPr>
      <w:r>
        <w:rPr>
          <w:rStyle w:val="af5"/>
          <w:rFonts w:ascii="仿宋_GB2312" w:eastAsia="仿宋_GB2312" w:hAnsi="仿宋_GB2312" w:cs="仿宋_GB2312" w:hint="eastAsia"/>
          <w:bCs w:val="0"/>
          <w:spacing w:val="-4"/>
          <w:sz w:val="32"/>
          <w:szCs w:val="32"/>
        </w:rPr>
        <w:t>日常检查监督管理：</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1、强化对政府采购资金预算管理。首先，把政府采购作为一个独立的内容纳入财政预算编制范畴，支出项目要细化到政府集中采购目录。</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2、强化政府采购资金使用管理。采购单位将全年的采购计划申报到财政部门(采购中心)，再通过必要的审批程序，由财政部门下达采购计划，具体采购由政府采购中心组织实施，采购单位加强验收和质量关。</w:t>
      </w:r>
    </w:p>
    <w:p w:rsidR="00053AEF" w:rsidRDefault="005D62D5">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3、强化政府采购资金结算管理。对于招标方式取得的货物、工程以及服务等大额采购，采取分期付款方式的一定要掌握全部资料，完善必备手续，加大事前控管，事后监督的力度。</w:t>
      </w:r>
    </w:p>
    <w:p w:rsidR="00053AEF" w:rsidRDefault="005D62D5">
      <w:pPr>
        <w:spacing w:line="360" w:lineRule="auto"/>
        <w:ind w:firstLineChars="200" w:firstLine="624"/>
        <w:rPr>
          <w:rFonts w:ascii="仿宋_GB2312" w:eastAsia="仿宋_GB2312" w:hAnsi="仿宋_GB2312" w:cs="仿宋_GB2312"/>
          <w:sz w:val="32"/>
          <w:szCs w:val="32"/>
        </w:rPr>
      </w:pPr>
      <w:r>
        <w:rPr>
          <w:rStyle w:val="af5"/>
          <w:rFonts w:ascii="仿宋_GB2312" w:eastAsia="仿宋_GB2312" w:hAnsi="仿宋_GB2312" w:cs="仿宋_GB2312" w:hint="eastAsia"/>
          <w:b w:val="0"/>
          <w:spacing w:val="-4"/>
          <w:sz w:val="32"/>
          <w:szCs w:val="32"/>
        </w:rPr>
        <w:t>4、审核</w:t>
      </w:r>
      <w:r>
        <w:rPr>
          <w:rFonts w:ascii="仿宋_GB2312" w:eastAsia="仿宋_GB2312" w:hAnsi="仿宋_GB2312" w:cs="仿宋_GB2312" w:hint="eastAsia"/>
          <w:sz w:val="32"/>
          <w:szCs w:val="32"/>
        </w:rPr>
        <w:t>以项目的使用功能、建设内容、规模、标准、方案及投资估算为重点。主要包括下列内容：</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（一）项目建设的必要性是否符合国家有关政策和规定；</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（二）项目建设内容、规模是否符合开发区长期建设规划；</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（三）项目建设的基础条件、环境因素条件是否具备，能否保证项目实施；</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（四）项目的设计方案是否满足功能、内容、规模、标准的要求，设备选型是否合理、可行，技术方案是否安全、经济</w:t>
      </w:r>
      <w:r>
        <w:rPr>
          <w:rFonts w:ascii="仿宋_GB2312" w:eastAsia="仿宋_GB2312" w:hAnsi="仿宋_GB2312" w:cs="仿宋_GB2312" w:hint="eastAsia"/>
          <w:sz w:val="32"/>
          <w:szCs w:val="32"/>
        </w:rPr>
        <w:lastRenderedPageBreak/>
        <w:t>适用；</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（五）投资估算编制内容是否完整，编制依据是否合理、准确；</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（六）资金来源是否可靠，资金筹措方案是否可行；</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（七）项目组织管理与实施方案是否合理，是否符合项目主管部门的要求；</w:t>
      </w:r>
    </w:p>
    <w:p w:rsidR="00053AEF" w:rsidRDefault="005D62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（八）项目的经济效益、社会效益、生态环境影响分析是否合理。</w:t>
      </w:r>
    </w:p>
    <w:p w:rsidR="00053AEF" w:rsidRDefault="005D62D5">
      <w:pPr>
        <w:spacing w:line="360" w:lineRule="auto"/>
        <w:ind w:firstLineChars="200" w:firstLine="624"/>
        <w:rPr>
          <w:rStyle w:val="af5"/>
          <w:rFonts w:ascii="黑体" w:eastAsia="黑体" w:hAnsi="黑体"/>
        </w:rPr>
      </w:pPr>
      <w:r>
        <w:rPr>
          <w:rStyle w:val="af5"/>
          <w:rFonts w:ascii="黑体" w:eastAsia="黑体" w:hAnsi="黑体" w:hint="eastAsia"/>
          <w:b w:val="0"/>
          <w:spacing w:val="-4"/>
          <w:sz w:val="32"/>
          <w:szCs w:val="32"/>
        </w:rPr>
        <w:t>四、项目绩效情况</w:t>
      </w:r>
      <w:r>
        <w:rPr>
          <w:rStyle w:val="af5"/>
          <w:rFonts w:ascii="黑体" w:eastAsia="黑体" w:hAnsi="黑体" w:hint="eastAsia"/>
        </w:rPr>
        <w:t xml:space="preserve"> </w:t>
      </w:r>
    </w:p>
    <w:p w:rsidR="00053AEF" w:rsidRDefault="005D62D5">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（一）项目绩效目标完成情况分析</w:t>
      </w:r>
    </w:p>
    <w:p w:rsidR="009574DB" w:rsidRPr="00DF196D" w:rsidRDefault="005D62D5" w:rsidP="009574DB">
      <w:pPr>
        <w:adjustRightInd w:val="0"/>
        <w:snapToGrid w:val="0"/>
        <w:spacing w:line="560" w:lineRule="exact"/>
        <w:ind w:firstLineChars="200" w:firstLine="400"/>
        <w:rPr>
          <w:rFonts w:ascii="仿宋" w:eastAsia="仿宋" w:hAnsi="仿宋"/>
          <w:bCs/>
          <w:spacing w:val="-4"/>
          <w:sz w:val="32"/>
          <w:szCs w:val="32"/>
        </w:rPr>
      </w:pPr>
      <w:r>
        <w:rPr>
          <w:rFonts w:ascii="仿宋_GB2312" w:eastAsia="仿宋_GB2312" w:hAnsi="仿宋_GB2312" w:cs="仿宋_GB2312" w:hint="eastAsia"/>
          <w:kern w:val="0"/>
          <w:sz w:val="20"/>
          <w:szCs w:val="20"/>
        </w:rPr>
        <w:t xml:space="preserve"> </w:t>
      </w:r>
      <w:r>
        <w:rPr>
          <w:rStyle w:val="af5"/>
          <w:rFonts w:ascii="仿宋_GB2312" w:eastAsia="仿宋_GB2312" w:hAnsi="仿宋_GB2312" w:cs="仿宋_GB2312" w:hint="eastAsia"/>
          <w:b w:val="0"/>
          <w:spacing w:val="-4"/>
          <w:sz w:val="32"/>
          <w:szCs w:val="32"/>
        </w:rPr>
        <w:t xml:space="preserve"> </w:t>
      </w:r>
      <w:r w:rsidR="009574DB" w:rsidRPr="00DF196D">
        <w:rPr>
          <w:rFonts w:ascii="仿宋" w:eastAsia="仿宋" w:hAnsi="仿宋" w:hint="eastAsia"/>
          <w:bCs/>
          <w:spacing w:val="-4"/>
          <w:sz w:val="32"/>
          <w:szCs w:val="32"/>
        </w:rPr>
        <w:t>本项目共设置一级指标3个，二级指标</w:t>
      </w:r>
      <w:r w:rsidR="009574DB">
        <w:rPr>
          <w:rFonts w:ascii="仿宋" w:eastAsia="仿宋" w:hAnsi="仿宋" w:hint="eastAsia"/>
          <w:bCs/>
          <w:spacing w:val="-4"/>
          <w:sz w:val="32"/>
          <w:szCs w:val="32"/>
        </w:rPr>
        <w:t>8</w:t>
      </w:r>
      <w:r w:rsidR="009574DB" w:rsidRPr="00DF196D">
        <w:rPr>
          <w:rFonts w:ascii="仿宋" w:eastAsia="仿宋" w:hAnsi="仿宋" w:hint="eastAsia"/>
          <w:bCs/>
          <w:spacing w:val="-4"/>
          <w:sz w:val="32"/>
          <w:szCs w:val="32"/>
        </w:rPr>
        <w:t>个，三级指标</w:t>
      </w:r>
      <w:r w:rsidR="009574DB">
        <w:rPr>
          <w:rFonts w:ascii="仿宋" w:eastAsia="仿宋" w:hAnsi="仿宋" w:hint="eastAsia"/>
          <w:bCs/>
          <w:spacing w:val="-4"/>
          <w:sz w:val="32"/>
          <w:szCs w:val="32"/>
        </w:rPr>
        <w:t>11</w:t>
      </w:r>
      <w:r w:rsidR="009574DB" w:rsidRPr="00DF196D">
        <w:rPr>
          <w:rFonts w:ascii="仿宋" w:eastAsia="仿宋" w:hAnsi="仿宋" w:hint="eastAsia"/>
          <w:bCs/>
          <w:spacing w:val="-4"/>
          <w:sz w:val="32"/>
          <w:szCs w:val="32"/>
        </w:rPr>
        <w:t>个，其中已完成三级指标</w:t>
      </w:r>
      <w:r w:rsidR="009574DB">
        <w:rPr>
          <w:rFonts w:ascii="仿宋" w:eastAsia="仿宋" w:hAnsi="仿宋" w:hint="eastAsia"/>
          <w:bCs/>
          <w:spacing w:val="-4"/>
          <w:sz w:val="32"/>
          <w:szCs w:val="32"/>
        </w:rPr>
        <w:t>10</w:t>
      </w:r>
      <w:r w:rsidR="009574DB" w:rsidRPr="00DF196D">
        <w:rPr>
          <w:rFonts w:ascii="仿宋" w:eastAsia="仿宋" w:hAnsi="仿宋" w:hint="eastAsia"/>
          <w:bCs/>
          <w:spacing w:val="-4"/>
          <w:sz w:val="32"/>
          <w:szCs w:val="32"/>
        </w:rPr>
        <w:t>个，指标完成率为</w:t>
      </w:r>
      <w:r w:rsidR="009574DB">
        <w:rPr>
          <w:rFonts w:ascii="仿宋" w:eastAsia="仿宋" w:hAnsi="仿宋" w:hint="eastAsia"/>
          <w:bCs/>
          <w:spacing w:val="-4"/>
          <w:sz w:val="32"/>
          <w:szCs w:val="32"/>
        </w:rPr>
        <w:t>91</w:t>
      </w:r>
      <w:r w:rsidR="009574DB" w:rsidRPr="00DF196D">
        <w:rPr>
          <w:rFonts w:ascii="仿宋" w:eastAsia="仿宋" w:hAnsi="仿宋" w:hint="eastAsia"/>
          <w:bCs/>
          <w:spacing w:val="-4"/>
          <w:sz w:val="32"/>
          <w:szCs w:val="32"/>
        </w:rPr>
        <w:t>%。</w:t>
      </w:r>
    </w:p>
    <w:p w:rsidR="009574DB" w:rsidRPr="00DF196D" w:rsidRDefault="009574DB" w:rsidP="009574D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9574DB">
        <w:rPr>
          <w:rFonts w:ascii="仿宋" w:eastAsia="仿宋" w:hAnsi="仿宋" w:hint="eastAsia"/>
          <w:bCs/>
          <w:spacing w:val="-4"/>
          <w:sz w:val="32"/>
          <w:szCs w:val="32"/>
        </w:rPr>
        <w:t>规划编制、评审等前期费用控制在项目总投资3%以内。从资源配置的角度衡量项目的价值，使项目实现区域经济发展目标、有效配置经济资源、增加供应、创造就业、改善环境、提高人民生活等方面。</w:t>
      </w:r>
    </w:p>
    <w:p w:rsidR="009574DB" w:rsidRPr="00DF196D" w:rsidRDefault="009574DB" w:rsidP="009574D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Pr>
          <w:rFonts w:ascii="仿宋" w:eastAsia="仿宋" w:hAnsi="仿宋" w:hint="eastAsia"/>
          <w:bCs/>
          <w:spacing w:val="-4"/>
          <w:sz w:val="32"/>
          <w:szCs w:val="32"/>
        </w:rPr>
        <w:t>及时完成项目</w:t>
      </w:r>
      <w:r w:rsidRPr="009574DB">
        <w:rPr>
          <w:rFonts w:ascii="仿宋" w:eastAsia="仿宋" w:hAnsi="仿宋" w:hint="eastAsia"/>
          <w:bCs/>
          <w:spacing w:val="-4"/>
          <w:sz w:val="32"/>
          <w:szCs w:val="32"/>
        </w:rPr>
        <w:t>实施方案项</w:t>
      </w:r>
      <w:r>
        <w:rPr>
          <w:rFonts w:ascii="仿宋" w:eastAsia="仿宋" w:hAnsi="仿宋" w:hint="eastAsia"/>
          <w:bCs/>
          <w:spacing w:val="-4"/>
          <w:sz w:val="32"/>
          <w:szCs w:val="32"/>
        </w:rPr>
        <w:t>和</w:t>
      </w:r>
      <w:r w:rsidRPr="009574DB">
        <w:rPr>
          <w:rFonts w:ascii="仿宋" w:eastAsia="仿宋" w:hAnsi="仿宋" w:hint="eastAsia"/>
          <w:bCs/>
          <w:spacing w:val="-4"/>
          <w:sz w:val="32"/>
          <w:szCs w:val="32"/>
        </w:rPr>
        <w:t>规划编制</w:t>
      </w:r>
      <w:r w:rsidRPr="00DF196D">
        <w:rPr>
          <w:rFonts w:ascii="仿宋" w:eastAsia="仿宋" w:hAnsi="仿宋" w:hint="eastAsia"/>
          <w:bCs/>
          <w:spacing w:val="-4"/>
          <w:sz w:val="32"/>
          <w:szCs w:val="32"/>
        </w:rPr>
        <w:t>。</w:t>
      </w:r>
    </w:p>
    <w:p w:rsidR="00053AEF" w:rsidRDefault="009574DB" w:rsidP="009574DB">
      <w:pPr>
        <w:adjustRightInd w:val="0"/>
        <w:snapToGrid w:val="0"/>
        <w:spacing w:line="560" w:lineRule="exact"/>
        <w:ind w:firstLineChars="200" w:firstLine="624"/>
        <w:rPr>
          <w:rStyle w:val="af5"/>
          <w:rFonts w:ascii="仿宋_GB2312" w:eastAsia="仿宋_GB2312" w:hAnsi="仿宋_GB2312" w:cs="仿宋_GB2312"/>
          <w:b w:val="0"/>
          <w:spacing w:val="-4"/>
          <w:sz w:val="32"/>
          <w:szCs w:val="32"/>
        </w:rPr>
      </w:pPr>
      <w:r w:rsidRPr="00DF196D">
        <w:rPr>
          <w:rFonts w:ascii="仿宋" w:eastAsia="仿宋" w:hAnsi="仿宋" w:hint="eastAsia"/>
          <w:bCs/>
          <w:spacing w:val="-4"/>
          <w:sz w:val="32"/>
          <w:szCs w:val="32"/>
        </w:rPr>
        <w:t>效益性：</w:t>
      </w:r>
      <w:r w:rsidRPr="009574DB">
        <w:rPr>
          <w:rFonts w:ascii="仿宋" w:eastAsia="仿宋" w:hAnsi="仿宋" w:hint="eastAsia"/>
          <w:bCs/>
          <w:spacing w:val="-4"/>
          <w:sz w:val="32"/>
          <w:szCs w:val="32"/>
        </w:rPr>
        <w:t>提前对项目产生的政治体制、方针政策、经济结构、法律道德及社会</w:t>
      </w:r>
      <w:bookmarkStart w:id="0" w:name="_GoBack"/>
      <w:bookmarkEnd w:id="0"/>
      <w:r w:rsidRPr="009574DB">
        <w:rPr>
          <w:rFonts w:ascii="仿宋" w:eastAsia="仿宋" w:hAnsi="仿宋" w:hint="eastAsia"/>
          <w:bCs/>
          <w:spacing w:val="-4"/>
          <w:sz w:val="32"/>
          <w:szCs w:val="32"/>
        </w:rPr>
        <w:t>等进行分析预判，避免产生影响</w:t>
      </w:r>
      <w:r w:rsidR="005D62D5">
        <w:rPr>
          <w:rStyle w:val="af5"/>
          <w:rFonts w:ascii="仿宋_GB2312" w:eastAsia="仿宋_GB2312" w:hAnsi="仿宋_GB2312" w:cs="仿宋_GB2312" w:hint="eastAsia"/>
          <w:b w:val="0"/>
          <w:spacing w:val="-4"/>
          <w:sz w:val="32"/>
          <w:szCs w:val="32"/>
        </w:rPr>
        <w:t>。</w:t>
      </w:r>
      <w:r w:rsidRPr="009574DB">
        <w:rPr>
          <w:rStyle w:val="af5"/>
          <w:rFonts w:ascii="仿宋_GB2312" w:eastAsia="仿宋_GB2312" w:hAnsi="仿宋_GB2312" w:cs="仿宋_GB2312" w:hint="eastAsia"/>
          <w:b w:val="0"/>
          <w:spacing w:val="-4"/>
          <w:sz w:val="32"/>
          <w:szCs w:val="32"/>
        </w:rPr>
        <w:t>对于本地区未来发展影响</w:t>
      </w:r>
      <w:r>
        <w:rPr>
          <w:rStyle w:val="af5"/>
          <w:rFonts w:ascii="仿宋_GB2312" w:eastAsia="仿宋_GB2312" w:hAnsi="仿宋_GB2312" w:cs="仿宋_GB2312" w:hint="eastAsia"/>
          <w:b w:val="0"/>
          <w:spacing w:val="-4"/>
          <w:sz w:val="32"/>
          <w:szCs w:val="32"/>
        </w:rPr>
        <w:t>明显有效。</w:t>
      </w:r>
    </w:p>
    <w:p w:rsidR="00053AEF" w:rsidRDefault="005D62D5">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五、其他需要说明的问题</w:t>
      </w:r>
    </w:p>
    <w:p w:rsidR="00053AEF" w:rsidRDefault="005D62D5">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（一）后续工作计划</w:t>
      </w:r>
    </w:p>
    <w:p w:rsidR="00053AEF" w:rsidRDefault="005D62D5">
      <w:pPr>
        <w:spacing w:line="360" w:lineRule="auto"/>
        <w:ind w:firstLineChars="181" w:firstLine="565"/>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对开发区未来10年的发展思路、投资环境的、优先推进项</w:t>
      </w:r>
      <w:r>
        <w:rPr>
          <w:rStyle w:val="af5"/>
          <w:rFonts w:ascii="仿宋_GB2312" w:eastAsia="仿宋_GB2312" w:hAnsi="仿宋_GB2312" w:cs="仿宋_GB2312" w:hint="eastAsia"/>
          <w:b w:val="0"/>
          <w:spacing w:val="-4"/>
          <w:sz w:val="32"/>
          <w:szCs w:val="32"/>
        </w:rPr>
        <w:lastRenderedPageBreak/>
        <w:t>目、需求政策进行全面的分析论证 ，保证项目获批，争取政策、资金支持。</w:t>
      </w:r>
    </w:p>
    <w:p w:rsidR="00053AEF" w:rsidRDefault="005D62D5">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（二）主要经验及做法、存在问题和建议</w:t>
      </w:r>
    </w:p>
    <w:p w:rsidR="00053AEF" w:rsidRDefault="005D62D5">
      <w:pPr>
        <w:spacing w:line="360" w:lineRule="auto"/>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053AEF" w:rsidRDefault="005D62D5">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053AEF" w:rsidRDefault="005D62D5">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2、事先明确项目具体方案，制定项目预实现目标；</w:t>
      </w:r>
    </w:p>
    <w:p w:rsidR="00053AEF" w:rsidRDefault="005D62D5">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053AEF" w:rsidRDefault="005D62D5">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053AEF" w:rsidRDefault="005D62D5">
      <w:pPr>
        <w:spacing w:line="360" w:lineRule="auto"/>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053AEF" w:rsidRDefault="005D62D5">
      <w:pPr>
        <w:spacing w:line="360" w:lineRule="auto"/>
        <w:ind w:firstLineChars="200" w:firstLine="624"/>
        <w:rPr>
          <w:rStyle w:val="af5"/>
          <w:rFonts w:ascii="黑体" w:eastAsia="黑体" w:hAnsi="黑体"/>
          <w:b w:val="0"/>
          <w:spacing w:val="-4"/>
          <w:sz w:val="32"/>
          <w:szCs w:val="32"/>
        </w:rPr>
      </w:pPr>
      <w:r>
        <w:rPr>
          <w:rFonts w:ascii="仿宋_GB2312" w:eastAsia="仿宋_GB2312" w:hint="eastAsia"/>
          <w:spacing w:val="-4"/>
          <w:sz w:val="32"/>
          <w:szCs w:val="32"/>
        </w:rPr>
        <w:t>该部分内容已在“后续工作计划”中具体体现，不再赘述。</w:t>
      </w:r>
    </w:p>
    <w:p w:rsidR="00053AEF" w:rsidRDefault="005D62D5">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六、项目评价工作情况</w:t>
      </w:r>
    </w:p>
    <w:p w:rsidR="00053AEF" w:rsidRDefault="005D62D5">
      <w:pPr>
        <w:spacing w:line="360" w:lineRule="auto"/>
        <w:ind w:firstLine="640"/>
        <w:rPr>
          <w:rFonts w:ascii="仿宋_GB2312" w:eastAsia="仿宋_GB2312" w:hAnsi="仿宋_GB2312" w:cs="仿宋_GB2312"/>
          <w:sz w:val="32"/>
          <w:szCs w:val="32"/>
        </w:rPr>
      </w:pPr>
      <w:r>
        <w:rPr>
          <w:rStyle w:val="af5"/>
          <w:rFonts w:ascii="仿宋_GB2312" w:eastAsia="仿宋_GB2312" w:hAnsi="仿宋_GB2312" w:cs="仿宋_GB2312" w:hint="eastAsia"/>
          <w:b w:val="0"/>
          <w:spacing w:val="-4"/>
          <w:sz w:val="32"/>
          <w:szCs w:val="32"/>
        </w:rPr>
        <w:t>以上数据来源于部门2018年度预算，采购明细。完成了新疆喀什经济开发区总体发展规划（2018-2020）实施方案》、《新疆喀什经济开发区总体发展规划（2021-2030年）》，合同价260万元，已支付182万元，规划很好地</w:t>
      </w:r>
      <w:r>
        <w:rPr>
          <w:rFonts w:ascii="仿宋_GB2312" w:eastAsia="仿宋_GB2312" w:hAnsi="仿宋_GB2312" w:cs="仿宋_GB2312" w:hint="eastAsia"/>
          <w:sz w:val="32"/>
          <w:szCs w:val="32"/>
        </w:rPr>
        <w:t>全面总结经济开发区对喀什市、克州乌恰县和兵团分区发展、新疆以及“一带一路”建设的重要作用，系统分析存在的突出问题，诠释面临的新形势新任务，尤其是在习近平新时代中国特色社会主义思想指导下，赋予经济开发区的新使命新定位，论证调整开发区2018-2020年规划指标，深化《喀什经济开发区总体发展规划（2011-2020年）》各项任务，加快推进基础设施、公共服务设施、资源与生态环境、对外开放和开发管理等重点工程和项</w:t>
      </w:r>
      <w:r>
        <w:rPr>
          <w:rFonts w:ascii="仿宋_GB2312" w:eastAsia="仿宋_GB2312" w:hAnsi="仿宋_GB2312" w:cs="仿宋_GB2312" w:hint="eastAsia"/>
          <w:sz w:val="32"/>
          <w:szCs w:val="32"/>
        </w:rPr>
        <w:lastRenderedPageBreak/>
        <w:t>目，谋划2021-2030年经济开发区发展的总体思路，形成总体规划后三年（2018-2020年）的实施方案。综合评价来看，本项目的实施效果的优。</w:t>
      </w:r>
    </w:p>
    <w:p w:rsidR="00053AEF" w:rsidRDefault="005D62D5">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七、附表</w:t>
      </w:r>
    </w:p>
    <w:p w:rsidR="00053AEF" w:rsidRDefault="005D62D5">
      <w:pPr>
        <w:spacing w:line="360" w:lineRule="auto"/>
        <w:ind w:firstLine="567"/>
        <w:rPr>
          <w:rStyle w:val="af5"/>
          <w:rFonts w:ascii="仿宋" w:eastAsia="仿宋" w:hAnsi="仿宋"/>
          <w:b w:val="0"/>
          <w:spacing w:val="-4"/>
          <w:sz w:val="32"/>
          <w:szCs w:val="32"/>
        </w:rPr>
      </w:pPr>
      <w:r>
        <w:rPr>
          <w:rStyle w:val="af5"/>
          <w:rFonts w:ascii="仿宋" w:eastAsia="仿宋" w:hAnsi="仿宋" w:hint="eastAsia"/>
          <w:b w:val="0"/>
          <w:spacing w:val="-4"/>
          <w:sz w:val="32"/>
          <w:szCs w:val="32"/>
        </w:rPr>
        <w:t>《自治区财政项目支出绩效自评表》</w:t>
      </w:r>
    </w:p>
    <w:p w:rsidR="00053AEF" w:rsidRDefault="00053AEF">
      <w:pPr>
        <w:spacing w:line="540" w:lineRule="exact"/>
        <w:rPr>
          <w:rStyle w:val="af5"/>
          <w:rFonts w:asciiTheme="minorEastAsia" w:eastAsiaTheme="minorEastAsia" w:hAnsiTheme="minorEastAsia"/>
          <w:b w:val="0"/>
          <w:spacing w:val="-4"/>
          <w:sz w:val="20"/>
          <w:szCs w:val="32"/>
        </w:rPr>
      </w:pPr>
    </w:p>
    <w:sectPr w:rsidR="00053AEF">
      <w:footerReference w:type="default" r:id="rId8"/>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B52" w:rsidRDefault="00D56B52">
      <w:r>
        <w:separator/>
      </w:r>
    </w:p>
  </w:endnote>
  <w:endnote w:type="continuationSeparator" w:id="0">
    <w:p w:rsidR="00D56B52" w:rsidRDefault="00D5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053AEF" w:rsidRDefault="005D62D5">
        <w:pPr>
          <w:pStyle w:val="aa"/>
          <w:jc w:val="center"/>
        </w:pPr>
        <w:r>
          <w:fldChar w:fldCharType="begin"/>
        </w:r>
        <w:r>
          <w:instrText>PAGE   \* MERGEFORMAT</w:instrText>
        </w:r>
        <w:r>
          <w:fldChar w:fldCharType="separate"/>
        </w:r>
        <w:r>
          <w:rPr>
            <w:lang w:val="zh-CN"/>
          </w:rPr>
          <w:t>7</w:t>
        </w:r>
        <w:r>
          <w:fldChar w:fldCharType="end"/>
        </w:r>
      </w:p>
    </w:sdtContent>
  </w:sdt>
  <w:p w:rsidR="00053AEF" w:rsidRDefault="00053AE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B52" w:rsidRDefault="00D56B52">
      <w:r>
        <w:separator/>
      </w:r>
    </w:p>
  </w:footnote>
  <w:footnote w:type="continuationSeparator" w:id="0">
    <w:p w:rsidR="00D56B52" w:rsidRDefault="00D56B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6878"/>
    <w:rsid w:val="00053AEF"/>
    <w:rsid w:val="00056465"/>
    <w:rsid w:val="000A4096"/>
    <w:rsid w:val="000A7E27"/>
    <w:rsid w:val="00121AE4"/>
    <w:rsid w:val="00146AAD"/>
    <w:rsid w:val="001B3A40"/>
    <w:rsid w:val="001D7A09"/>
    <w:rsid w:val="001F76EA"/>
    <w:rsid w:val="00230A98"/>
    <w:rsid w:val="00233C9F"/>
    <w:rsid w:val="00242B8D"/>
    <w:rsid w:val="0036514A"/>
    <w:rsid w:val="003D6C18"/>
    <w:rsid w:val="004366A8"/>
    <w:rsid w:val="004D05B3"/>
    <w:rsid w:val="00502BA7"/>
    <w:rsid w:val="00506F8D"/>
    <w:rsid w:val="005162F1"/>
    <w:rsid w:val="00535153"/>
    <w:rsid w:val="00554F82"/>
    <w:rsid w:val="0056390D"/>
    <w:rsid w:val="005719B0"/>
    <w:rsid w:val="005B729B"/>
    <w:rsid w:val="005D10D6"/>
    <w:rsid w:val="005D5EE2"/>
    <w:rsid w:val="005D62D5"/>
    <w:rsid w:val="00607FEF"/>
    <w:rsid w:val="006912D3"/>
    <w:rsid w:val="006F5DB5"/>
    <w:rsid w:val="0074290D"/>
    <w:rsid w:val="00745E50"/>
    <w:rsid w:val="007F50DA"/>
    <w:rsid w:val="007F7929"/>
    <w:rsid w:val="00855E3A"/>
    <w:rsid w:val="00872F11"/>
    <w:rsid w:val="008B30F6"/>
    <w:rsid w:val="00922CB9"/>
    <w:rsid w:val="00955607"/>
    <w:rsid w:val="009574DB"/>
    <w:rsid w:val="009C2A42"/>
    <w:rsid w:val="009E5CD9"/>
    <w:rsid w:val="00A26421"/>
    <w:rsid w:val="00A40000"/>
    <w:rsid w:val="00A4293B"/>
    <w:rsid w:val="00A67D50"/>
    <w:rsid w:val="00A8691A"/>
    <w:rsid w:val="00AC1946"/>
    <w:rsid w:val="00AD654C"/>
    <w:rsid w:val="00B40063"/>
    <w:rsid w:val="00B41F61"/>
    <w:rsid w:val="00B86D3D"/>
    <w:rsid w:val="00B96D8C"/>
    <w:rsid w:val="00BA46E6"/>
    <w:rsid w:val="00BE5D49"/>
    <w:rsid w:val="00C045FD"/>
    <w:rsid w:val="00C277E0"/>
    <w:rsid w:val="00C51AC6"/>
    <w:rsid w:val="00C56C72"/>
    <w:rsid w:val="00C9665B"/>
    <w:rsid w:val="00CA6457"/>
    <w:rsid w:val="00CB2D53"/>
    <w:rsid w:val="00D17F2E"/>
    <w:rsid w:val="00D30354"/>
    <w:rsid w:val="00D56B52"/>
    <w:rsid w:val="00DF36F2"/>
    <w:rsid w:val="00DF42A0"/>
    <w:rsid w:val="00E769FE"/>
    <w:rsid w:val="00EA2CBE"/>
    <w:rsid w:val="00F178B0"/>
    <w:rsid w:val="00F32FEE"/>
    <w:rsid w:val="00FB10BB"/>
    <w:rsid w:val="00FD40CC"/>
    <w:rsid w:val="00FE69FB"/>
    <w:rsid w:val="017445BF"/>
    <w:rsid w:val="022E5C60"/>
    <w:rsid w:val="02921A11"/>
    <w:rsid w:val="040D379D"/>
    <w:rsid w:val="040F3503"/>
    <w:rsid w:val="04F663B4"/>
    <w:rsid w:val="06110480"/>
    <w:rsid w:val="064C497C"/>
    <w:rsid w:val="06964684"/>
    <w:rsid w:val="078015F0"/>
    <w:rsid w:val="08840A0F"/>
    <w:rsid w:val="08F6624C"/>
    <w:rsid w:val="093B01F3"/>
    <w:rsid w:val="09404714"/>
    <w:rsid w:val="0949028F"/>
    <w:rsid w:val="0A0A374E"/>
    <w:rsid w:val="0A0E5AA7"/>
    <w:rsid w:val="0AD865D9"/>
    <w:rsid w:val="0B894E6F"/>
    <w:rsid w:val="0C152697"/>
    <w:rsid w:val="0C4A4D7C"/>
    <w:rsid w:val="0C834015"/>
    <w:rsid w:val="0C9D27B1"/>
    <w:rsid w:val="0CA82A6F"/>
    <w:rsid w:val="0CDB5BC2"/>
    <w:rsid w:val="0CDE7D51"/>
    <w:rsid w:val="0DA61A12"/>
    <w:rsid w:val="0DE364B9"/>
    <w:rsid w:val="0E2F67DE"/>
    <w:rsid w:val="0E671D84"/>
    <w:rsid w:val="109B10C4"/>
    <w:rsid w:val="10AB7671"/>
    <w:rsid w:val="10B3387D"/>
    <w:rsid w:val="10BF2BBD"/>
    <w:rsid w:val="1161043F"/>
    <w:rsid w:val="11B07811"/>
    <w:rsid w:val="11B55CD8"/>
    <w:rsid w:val="11DB63B3"/>
    <w:rsid w:val="12481F26"/>
    <w:rsid w:val="1283229C"/>
    <w:rsid w:val="12A00F36"/>
    <w:rsid w:val="13146DA6"/>
    <w:rsid w:val="135044AC"/>
    <w:rsid w:val="13563612"/>
    <w:rsid w:val="14142B77"/>
    <w:rsid w:val="14354AEA"/>
    <w:rsid w:val="149A20C1"/>
    <w:rsid w:val="14D25022"/>
    <w:rsid w:val="15AA17A4"/>
    <w:rsid w:val="15EA61EB"/>
    <w:rsid w:val="16736891"/>
    <w:rsid w:val="16AB520C"/>
    <w:rsid w:val="16AC436E"/>
    <w:rsid w:val="16E03635"/>
    <w:rsid w:val="171B34B6"/>
    <w:rsid w:val="17C80E58"/>
    <w:rsid w:val="190A0222"/>
    <w:rsid w:val="193A4C2E"/>
    <w:rsid w:val="194D2414"/>
    <w:rsid w:val="19741DDA"/>
    <w:rsid w:val="197D7FB6"/>
    <w:rsid w:val="19967960"/>
    <w:rsid w:val="1A2E1DF7"/>
    <w:rsid w:val="1B9A1A9C"/>
    <w:rsid w:val="1BAF7A3C"/>
    <w:rsid w:val="1C580048"/>
    <w:rsid w:val="1C84143D"/>
    <w:rsid w:val="1CF46E50"/>
    <w:rsid w:val="1DF1621E"/>
    <w:rsid w:val="1E0A63D5"/>
    <w:rsid w:val="1F517B7E"/>
    <w:rsid w:val="1F5D5F04"/>
    <w:rsid w:val="20165235"/>
    <w:rsid w:val="201C3698"/>
    <w:rsid w:val="217A15F9"/>
    <w:rsid w:val="22374AB9"/>
    <w:rsid w:val="22D37D0B"/>
    <w:rsid w:val="22D76F32"/>
    <w:rsid w:val="23180EA8"/>
    <w:rsid w:val="23440D1E"/>
    <w:rsid w:val="23623C77"/>
    <w:rsid w:val="237A3AF5"/>
    <w:rsid w:val="24424BE7"/>
    <w:rsid w:val="259B11EC"/>
    <w:rsid w:val="25EB2F29"/>
    <w:rsid w:val="2672733A"/>
    <w:rsid w:val="267D1C00"/>
    <w:rsid w:val="271E32D0"/>
    <w:rsid w:val="274A29BD"/>
    <w:rsid w:val="27AF03F2"/>
    <w:rsid w:val="28DF4022"/>
    <w:rsid w:val="28EF4D0E"/>
    <w:rsid w:val="290703E2"/>
    <w:rsid w:val="29544EA7"/>
    <w:rsid w:val="2A42057E"/>
    <w:rsid w:val="2A532AE1"/>
    <w:rsid w:val="2ADF332B"/>
    <w:rsid w:val="2B235937"/>
    <w:rsid w:val="2BE64C20"/>
    <w:rsid w:val="2C5119CB"/>
    <w:rsid w:val="2D3201AC"/>
    <w:rsid w:val="2D900487"/>
    <w:rsid w:val="2E3968CE"/>
    <w:rsid w:val="2E537B8A"/>
    <w:rsid w:val="2E704194"/>
    <w:rsid w:val="2EA8721A"/>
    <w:rsid w:val="2F0B5114"/>
    <w:rsid w:val="2FA26059"/>
    <w:rsid w:val="2FFE1B7E"/>
    <w:rsid w:val="308A6987"/>
    <w:rsid w:val="31434F72"/>
    <w:rsid w:val="31794ED4"/>
    <w:rsid w:val="327C2624"/>
    <w:rsid w:val="329E740F"/>
    <w:rsid w:val="32E64BE4"/>
    <w:rsid w:val="336F5897"/>
    <w:rsid w:val="338F7F50"/>
    <w:rsid w:val="33BD1D07"/>
    <w:rsid w:val="343B4049"/>
    <w:rsid w:val="35EF2041"/>
    <w:rsid w:val="36014918"/>
    <w:rsid w:val="364D497F"/>
    <w:rsid w:val="369D68EB"/>
    <w:rsid w:val="37323064"/>
    <w:rsid w:val="378C04A1"/>
    <w:rsid w:val="38031066"/>
    <w:rsid w:val="380370CA"/>
    <w:rsid w:val="383D015E"/>
    <w:rsid w:val="38485CB1"/>
    <w:rsid w:val="39406C6B"/>
    <w:rsid w:val="398B4FD1"/>
    <w:rsid w:val="3B174B4B"/>
    <w:rsid w:val="3BFC11E2"/>
    <w:rsid w:val="3C3D0F44"/>
    <w:rsid w:val="3D52202D"/>
    <w:rsid w:val="3D8151D0"/>
    <w:rsid w:val="3DD215C9"/>
    <w:rsid w:val="3DFB5630"/>
    <w:rsid w:val="3E006E4A"/>
    <w:rsid w:val="3E0C109E"/>
    <w:rsid w:val="3E652168"/>
    <w:rsid w:val="3E662990"/>
    <w:rsid w:val="3E85449A"/>
    <w:rsid w:val="3E8D0B6B"/>
    <w:rsid w:val="3F110BD4"/>
    <w:rsid w:val="3F265637"/>
    <w:rsid w:val="3FCF7761"/>
    <w:rsid w:val="40391529"/>
    <w:rsid w:val="41100652"/>
    <w:rsid w:val="41FA253A"/>
    <w:rsid w:val="42F57E66"/>
    <w:rsid w:val="4396070C"/>
    <w:rsid w:val="44057CDD"/>
    <w:rsid w:val="44155EF0"/>
    <w:rsid w:val="4419107F"/>
    <w:rsid w:val="44B11153"/>
    <w:rsid w:val="45472AB9"/>
    <w:rsid w:val="458A0A9C"/>
    <w:rsid w:val="478216A6"/>
    <w:rsid w:val="47E831EC"/>
    <w:rsid w:val="48676FCC"/>
    <w:rsid w:val="48B106DD"/>
    <w:rsid w:val="48FF61C0"/>
    <w:rsid w:val="494D5D3C"/>
    <w:rsid w:val="49853F60"/>
    <w:rsid w:val="49CF4B7A"/>
    <w:rsid w:val="4BDD57C1"/>
    <w:rsid w:val="4CA24B8B"/>
    <w:rsid w:val="4D125EB4"/>
    <w:rsid w:val="4D395528"/>
    <w:rsid w:val="4E4A1392"/>
    <w:rsid w:val="50762E86"/>
    <w:rsid w:val="508F6D83"/>
    <w:rsid w:val="50BA7DDC"/>
    <w:rsid w:val="50C90BA8"/>
    <w:rsid w:val="51262ABF"/>
    <w:rsid w:val="519B566D"/>
    <w:rsid w:val="51C0692F"/>
    <w:rsid w:val="51E83758"/>
    <w:rsid w:val="5223224F"/>
    <w:rsid w:val="52B3608D"/>
    <w:rsid w:val="533266BF"/>
    <w:rsid w:val="537344C5"/>
    <w:rsid w:val="53853578"/>
    <w:rsid w:val="541B66CE"/>
    <w:rsid w:val="5473699B"/>
    <w:rsid w:val="54817342"/>
    <w:rsid w:val="54E84965"/>
    <w:rsid w:val="551C162D"/>
    <w:rsid w:val="55542654"/>
    <w:rsid w:val="555D7BF6"/>
    <w:rsid w:val="558A03FE"/>
    <w:rsid w:val="56142C8E"/>
    <w:rsid w:val="5694469F"/>
    <w:rsid w:val="57832F36"/>
    <w:rsid w:val="578D2537"/>
    <w:rsid w:val="57990992"/>
    <w:rsid w:val="582E5D11"/>
    <w:rsid w:val="587F4D5D"/>
    <w:rsid w:val="58917B91"/>
    <w:rsid w:val="589B1981"/>
    <w:rsid w:val="58C722FB"/>
    <w:rsid w:val="59F65E47"/>
    <w:rsid w:val="5A3B041D"/>
    <w:rsid w:val="5AD50B7D"/>
    <w:rsid w:val="5AEA2753"/>
    <w:rsid w:val="5B0A374E"/>
    <w:rsid w:val="5D690691"/>
    <w:rsid w:val="5D8B4209"/>
    <w:rsid w:val="5F8140A1"/>
    <w:rsid w:val="5F930BB1"/>
    <w:rsid w:val="5FB93085"/>
    <w:rsid w:val="5FF33DD6"/>
    <w:rsid w:val="60C27FDC"/>
    <w:rsid w:val="613B1EE8"/>
    <w:rsid w:val="61A31654"/>
    <w:rsid w:val="62282C33"/>
    <w:rsid w:val="6246623A"/>
    <w:rsid w:val="62A97C88"/>
    <w:rsid w:val="630A623F"/>
    <w:rsid w:val="63350E7C"/>
    <w:rsid w:val="63BF49E9"/>
    <w:rsid w:val="6426310E"/>
    <w:rsid w:val="644151D4"/>
    <w:rsid w:val="647A1BDE"/>
    <w:rsid w:val="64801D67"/>
    <w:rsid w:val="64F77EB2"/>
    <w:rsid w:val="65516D97"/>
    <w:rsid w:val="66191A53"/>
    <w:rsid w:val="66B5572D"/>
    <w:rsid w:val="671120FE"/>
    <w:rsid w:val="67381765"/>
    <w:rsid w:val="68351F5A"/>
    <w:rsid w:val="68C21C8B"/>
    <w:rsid w:val="68E31F74"/>
    <w:rsid w:val="68F638D8"/>
    <w:rsid w:val="691A3C86"/>
    <w:rsid w:val="6AAC6CA6"/>
    <w:rsid w:val="6ADD3867"/>
    <w:rsid w:val="6B2B0A0B"/>
    <w:rsid w:val="6BD84B8F"/>
    <w:rsid w:val="6C780AC5"/>
    <w:rsid w:val="6C796BF4"/>
    <w:rsid w:val="6C9D380F"/>
    <w:rsid w:val="6D572FE4"/>
    <w:rsid w:val="6D763C02"/>
    <w:rsid w:val="6F851342"/>
    <w:rsid w:val="6FC90A88"/>
    <w:rsid w:val="6FCA70B1"/>
    <w:rsid w:val="6FED404B"/>
    <w:rsid w:val="707A4160"/>
    <w:rsid w:val="70CE3824"/>
    <w:rsid w:val="71233849"/>
    <w:rsid w:val="713F6681"/>
    <w:rsid w:val="716F42D6"/>
    <w:rsid w:val="71BA029D"/>
    <w:rsid w:val="71F9654A"/>
    <w:rsid w:val="724A4C5D"/>
    <w:rsid w:val="728F3B7D"/>
    <w:rsid w:val="737117A6"/>
    <w:rsid w:val="73927498"/>
    <w:rsid w:val="73A976BA"/>
    <w:rsid w:val="73D83CBE"/>
    <w:rsid w:val="74B45079"/>
    <w:rsid w:val="757460DF"/>
    <w:rsid w:val="767A1490"/>
    <w:rsid w:val="76C84353"/>
    <w:rsid w:val="79191F62"/>
    <w:rsid w:val="79F25FF9"/>
    <w:rsid w:val="7A3C0603"/>
    <w:rsid w:val="7A970687"/>
    <w:rsid w:val="7BEF2747"/>
    <w:rsid w:val="7C3236AA"/>
    <w:rsid w:val="7C86743E"/>
    <w:rsid w:val="7D522D50"/>
    <w:rsid w:val="7DEC67E3"/>
    <w:rsid w:val="7E074CFF"/>
    <w:rsid w:val="7F931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1B2749"/>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annotation text"/>
    <w:basedOn w:val="a"/>
    <w:link w:val="a7"/>
    <w:uiPriority w:val="99"/>
    <w:semiHidden/>
    <w:unhideWhenUsed/>
    <w:qFormat/>
    <w:pPr>
      <w:jc w:val="left"/>
    </w:p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Calibri" w:hAnsi="Calibr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e">
    <w:name w:val="Subtitle"/>
    <w:basedOn w:val="a"/>
    <w:next w:val="a"/>
    <w:link w:val="af"/>
    <w:uiPriority w:val="11"/>
    <w:qFormat/>
    <w:pPr>
      <w:widowControl/>
      <w:spacing w:after="60"/>
      <w:jc w:val="center"/>
      <w:outlineLvl w:val="1"/>
    </w:pPr>
    <w:rPr>
      <w:rFonts w:asciiTheme="majorHAnsi" w:eastAsiaTheme="majorEastAsia" w:hAnsiTheme="majorHAnsi"/>
      <w:kern w:val="0"/>
      <w:sz w:val="24"/>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Title"/>
    <w:basedOn w:val="a"/>
    <w:next w:val="a"/>
    <w:link w:val="af2"/>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3">
    <w:name w:val="annotation subject"/>
    <w:basedOn w:val="a6"/>
    <w:next w:val="a6"/>
    <w:link w:val="af4"/>
    <w:uiPriority w:val="99"/>
    <w:semiHidden/>
    <w:unhideWhenUsed/>
    <w:qFormat/>
    <w:rPr>
      <w:b/>
      <w:bCs/>
    </w:rPr>
  </w:style>
  <w:style w:type="character" w:styleId="af5">
    <w:name w:val="Strong"/>
    <w:basedOn w:val="a0"/>
    <w:qFormat/>
    <w:rPr>
      <w:b/>
      <w:bCs/>
    </w:rPr>
  </w:style>
  <w:style w:type="character" w:styleId="af6">
    <w:name w:val="Emphasis"/>
    <w:basedOn w:val="a0"/>
    <w:uiPriority w:val="20"/>
    <w:qFormat/>
    <w:rPr>
      <w:rFonts w:asciiTheme="minorHAnsi" w:hAnsiTheme="minorHAnsi"/>
      <w:b/>
      <w:i/>
      <w:iCs/>
    </w:rPr>
  </w:style>
  <w:style w:type="character" w:styleId="af7">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2">
    <w:name w:val="标题 字符"/>
    <w:basedOn w:val="a0"/>
    <w:link w:val="af1"/>
    <w:uiPriority w:val="10"/>
    <w:qFormat/>
    <w:rPr>
      <w:rFonts w:asciiTheme="majorHAnsi" w:eastAsiaTheme="majorEastAsia" w:hAnsiTheme="majorHAnsi"/>
      <w:b/>
      <w:bCs/>
      <w:kern w:val="28"/>
      <w:sz w:val="32"/>
      <w:szCs w:val="32"/>
    </w:rPr>
  </w:style>
  <w:style w:type="character" w:customStyle="1" w:styleId="af">
    <w:name w:val="副标题 字符"/>
    <w:basedOn w:val="a0"/>
    <w:link w:val="ae"/>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d">
    <w:name w:val="页眉 字符"/>
    <w:basedOn w:val="a0"/>
    <w:link w:val="ac"/>
    <w:uiPriority w:val="99"/>
    <w:qFormat/>
    <w:rPr>
      <w:rFonts w:ascii="Calibri" w:eastAsia="宋体" w:hAnsi="Calibri"/>
      <w:kern w:val="2"/>
      <w:sz w:val="18"/>
      <w:szCs w:val="18"/>
    </w:rPr>
  </w:style>
  <w:style w:type="character" w:customStyle="1" w:styleId="ab">
    <w:name w:val="页脚 字符"/>
    <w:basedOn w:val="a0"/>
    <w:link w:val="aa"/>
    <w:uiPriority w:val="99"/>
    <w:qFormat/>
    <w:rPr>
      <w:rFonts w:ascii="Calibri" w:eastAsia="宋体" w:hAnsi="Calibri"/>
      <w:kern w:val="2"/>
      <w:sz w:val="18"/>
      <w:szCs w:val="18"/>
    </w:rPr>
  </w:style>
  <w:style w:type="character" w:customStyle="1" w:styleId="a9">
    <w:name w:val="批注框文本 字符"/>
    <w:basedOn w:val="a0"/>
    <w:link w:val="a8"/>
    <w:uiPriority w:val="99"/>
    <w:semiHidden/>
    <w:qFormat/>
    <w:rPr>
      <w:rFonts w:ascii="Times New Roman" w:eastAsia="宋体" w:hAnsi="Times New Roman"/>
      <w:kern w:val="2"/>
      <w:sz w:val="18"/>
      <w:szCs w:val="18"/>
    </w:rPr>
  </w:style>
  <w:style w:type="character" w:customStyle="1" w:styleId="a7">
    <w:name w:val="批注文字 字符"/>
    <w:basedOn w:val="a0"/>
    <w:link w:val="a6"/>
    <w:uiPriority w:val="99"/>
    <w:semiHidden/>
    <w:qFormat/>
    <w:rPr>
      <w:kern w:val="2"/>
      <w:sz w:val="21"/>
      <w:szCs w:val="24"/>
    </w:rPr>
  </w:style>
  <w:style w:type="character" w:customStyle="1" w:styleId="af4">
    <w:name w:val="批注主题 字符"/>
    <w:basedOn w:val="a7"/>
    <w:link w:val="af3"/>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693A48-D1DC-4CD1-89B1-F292EFB09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572</Words>
  <Characters>3262</Characters>
  <Application>Microsoft Office Word</Application>
  <DocSecurity>0</DocSecurity>
  <Lines>27</Lines>
  <Paragraphs>7</Paragraphs>
  <ScaleCrop>false</ScaleCrop>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7</cp:revision>
  <cp:lastPrinted>2019-03-10T12:15:00Z</cp:lastPrinted>
  <dcterms:created xsi:type="dcterms:W3CDTF">2019-03-10T13:06:00Z</dcterms:created>
  <dcterms:modified xsi:type="dcterms:W3CDTF">2021-05-29T09:05:00Z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