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项目名称：深喀双创基地运营费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实施单位（公章）：喀什经济开发区发展改革和经济促进局（科创中心）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填报时间：2019年03月09日</w:t>
      </w:r>
    </w:p>
    <w:p>
      <w:pPr>
        <w:spacing w:line="540" w:lineRule="exact"/>
        <w:jc w:val="center"/>
        <w:rPr>
          <w:rFonts w:hAnsi="宋体" w:eastAsia="仿宋_GB2312" w:cs="宋体"/>
          <w:kern w:val="0"/>
          <w:sz w:val="30"/>
          <w:szCs w:val="30"/>
        </w:rPr>
      </w:pP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spacing w:line="540" w:lineRule="exact"/>
        <w:ind w:firstLine="640" w:firstLineChars="200"/>
        <w:rPr>
          <w:rStyle w:val="20"/>
          <w:rFonts w:ascii="仿宋" w:hAnsi="仿宋" w:eastAsia="仿宋"/>
          <w:b w:val="0"/>
          <w:spacing w:val="-4"/>
          <w:sz w:val="32"/>
          <w:szCs w:val="32"/>
        </w:rPr>
      </w:pPr>
      <w:r>
        <w:rPr>
          <w:rFonts w:hint="eastAsia" w:ascii="仿宋" w:hAnsi="仿宋" w:eastAsia="仿宋" w:cs="仿宋"/>
          <w:color w:val="000000"/>
          <w:sz w:val="32"/>
          <w:szCs w:val="32"/>
          <w:shd w:val="clear" w:color="auto" w:fill="FFFFFF"/>
        </w:rPr>
        <w:t>喀什经济开发区发展改革和经济促进局是喀什经济开发区管委会下属的全额拨款行政单位。</w:t>
      </w:r>
      <w:r>
        <w:rPr>
          <w:rStyle w:val="20"/>
          <w:rFonts w:hint="eastAsia" w:ascii="仿宋" w:hAnsi="仿宋" w:eastAsia="仿宋"/>
          <w:b w:val="0"/>
          <w:spacing w:val="-4"/>
          <w:sz w:val="32"/>
          <w:szCs w:val="32"/>
        </w:rPr>
        <w:t>喀什经济开发区发展改革和经济促进局，编制数15人，其中：行政人员编制5人，参照公务员管理的事业单位人员编制0人，全额拨款事业单位人员编制10人。</w:t>
      </w:r>
    </w:p>
    <w:p>
      <w:p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本部门职能是负运营下设孵化器，管理并服务于其入孵企业，组织并参与开发区各类创新创业活动，并在喀什营造创新创业氛围。</w:t>
      </w:r>
    </w:p>
    <w:p>
      <w:pPr>
        <w:numPr>
          <w:ilvl w:val="0"/>
          <w:numId w:val="1"/>
        </w:num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项目预算</w:t>
      </w:r>
      <w:r>
        <w:rPr>
          <w:rStyle w:val="20"/>
          <w:rFonts w:ascii="楷体" w:hAnsi="楷体" w:eastAsia="楷体"/>
          <w:spacing w:val="-4"/>
          <w:sz w:val="32"/>
          <w:szCs w:val="32"/>
        </w:rPr>
        <w:t>绩效目标</w:t>
      </w:r>
      <w:r>
        <w:rPr>
          <w:rStyle w:val="20"/>
          <w:rFonts w:hint="eastAsia" w:ascii="楷体" w:hAnsi="楷体" w:eastAsia="楷体"/>
          <w:spacing w:val="-4"/>
          <w:sz w:val="32"/>
          <w:szCs w:val="32"/>
        </w:rPr>
        <w:t>设定情况</w:t>
      </w:r>
    </w:p>
    <w:p>
      <w:pPr>
        <w:spacing w:line="540" w:lineRule="exact"/>
        <w:ind w:firstLine="627" w:firstLineChars="200"/>
        <w:rPr>
          <w:rStyle w:val="20"/>
          <w:rFonts w:ascii="仿宋" w:hAnsi="仿宋" w:eastAsia="仿宋"/>
          <w:b w:val="0"/>
          <w:spacing w:val="-4"/>
          <w:sz w:val="32"/>
          <w:szCs w:val="32"/>
        </w:rPr>
      </w:pPr>
      <w:r>
        <w:rPr>
          <w:rFonts w:hint="eastAsia" w:ascii="仿宋" w:hAnsi="仿宋" w:eastAsia="仿宋"/>
          <w:b/>
          <w:spacing w:val="-4"/>
          <w:sz w:val="32"/>
          <w:szCs w:val="32"/>
        </w:rPr>
        <w:t>预期目标：</w:t>
      </w:r>
      <w:r>
        <w:rPr>
          <w:rStyle w:val="20"/>
          <w:rFonts w:hint="eastAsia" w:ascii="仿宋" w:hAnsi="仿宋" w:eastAsia="仿宋"/>
          <w:b w:val="0"/>
          <w:spacing w:val="-4"/>
          <w:sz w:val="32"/>
          <w:szCs w:val="32"/>
        </w:rPr>
        <w:t>喀什特区深喀科技创新服务中心通过举办创业培训活动来提高双创基地人气，在喀什塑造创新创业氛围。主要用于支付活动所需设备采购费和活动举办费。</w:t>
      </w:r>
    </w:p>
    <w:p>
      <w:pPr>
        <w:spacing w:line="54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阶段性目标：</w:t>
      </w:r>
      <w:r>
        <w:rPr>
          <w:rFonts w:hint="eastAsia" w:ascii="仿宋" w:hAnsi="仿宋" w:eastAsia="仿宋"/>
          <w:bCs/>
          <w:spacing w:val="-4"/>
          <w:sz w:val="32"/>
          <w:szCs w:val="32"/>
        </w:rPr>
        <w:t>喀什特区深喀科技创新服务中心通过举办创业培训活动来提高双创基地人气，在喀什塑造创新创业氛围。该活动吸引了100多为有创业想法的人参加。</w:t>
      </w:r>
    </w:p>
    <w:p>
      <w:pPr>
        <w:spacing w:line="540" w:lineRule="exact"/>
        <w:ind w:firstLine="627" w:firstLineChars="200"/>
        <w:rPr>
          <w:rFonts w:ascii="仿宋" w:hAnsi="仿宋" w:eastAsia="仿宋"/>
          <w:bCs/>
          <w:spacing w:val="-4"/>
          <w:sz w:val="32"/>
          <w:szCs w:val="32"/>
        </w:rPr>
      </w:pPr>
      <w:r>
        <w:rPr>
          <w:rFonts w:hint="eastAsia" w:ascii="仿宋" w:hAnsi="仿宋" w:eastAsia="仿宋"/>
          <w:b/>
          <w:spacing w:val="-4"/>
          <w:sz w:val="32"/>
          <w:szCs w:val="32"/>
        </w:rPr>
        <w:t>项目基本性质</w:t>
      </w:r>
      <w:r>
        <w:rPr>
          <w:rFonts w:hint="eastAsia" w:ascii="仿宋" w:hAnsi="仿宋" w:eastAsia="仿宋"/>
          <w:bCs/>
          <w:spacing w:val="-4"/>
          <w:sz w:val="32"/>
          <w:szCs w:val="32"/>
        </w:rPr>
        <w:t>：新增项目</w:t>
      </w:r>
    </w:p>
    <w:p>
      <w:pPr>
        <w:spacing w:line="540" w:lineRule="exact"/>
        <w:ind w:firstLine="627" w:firstLineChars="200"/>
        <w:rPr>
          <w:rStyle w:val="20"/>
          <w:rFonts w:ascii="仿宋" w:hAnsi="仿宋" w:eastAsia="仿宋"/>
          <w:b w:val="0"/>
          <w:spacing w:val="-4"/>
          <w:sz w:val="32"/>
          <w:szCs w:val="32"/>
        </w:rPr>
      </w:pPr>
      <w:r>
        <w:rPr>
          <w:rStyle w:val="20"/>
          <w:rFonts w:hint="eastAsia" w:ascii="仿宋" w:hAnsi="仿宋" w:eastAsia="仿宋"/>
          <w:bCs w:val="0"/>
          <w:spacing w:val="-4"/>
          <w:sz w:val="32"/>
          <w:szCs w:val="32"/>
        </w:rPr>
        <w:t>用途和主要内容：</w:t>
      </w:r>
      <w:r>
        <w:rPr>
          <w:rStyle w:val="20"/>
          <w:rFonts w:hint="eastAsia" w:ascii="仿宋" w:hAnsi="仿宋" w:eastAsia="仿宋"/>
          <w:b w:val="0"/>
          <w:spacing w:val="-4"/>
          <w:sz w:val="32"/>
          <w:szCs w:val="32"/>
        </w:rPr>
        <w:t>通过举办创业培训活动来提高双创基地人气，在喀什塑造创新创业氛围。主要用于支付活动所需设备采购费和活动举办费。</w:t>
      </w:r>
    </w:p>
    <w:p>
      <w:pPr>
        <w:spacing w:line="540" w:lineRule="exact"/>
        <w:ind w:firstLine="627" w:firstLineChars="200"/>
        <w:rPr>
          <w:rStyle w:val="20"/>
          <w:rFonts w:ascii="仿宋" w:hAnsi="仿宋" w:eastAsia="仿宋"/>
          <w:b w:val="0"/>
          <w:spacing w:val="-4"/>
          <w:sz w:val="32"/>
          <w:szCs w:val="32"/>
        </w:rPr>
      </w:pPr>
      <w:r>
        <w:rPr>
          <w:rStyle w:val="20"/>
          <w:rFonts w:hint="eastAsia" w:ascii="仿宋" w:hAnsi="仿宋" w:eastAsia="仿宋"/>
          <w:bCs w:val="0"/>
          <w:spacing w:val="-4"/>
          <w:sz w:val="32"/>
          <w:szCs w:val="32"/>
        </w:rPr>
        <w:t>涉及范围</w:t>
      </w:r>
      <w:r>
        <w:rPr>
          <w:rStyle w:val="20"/>
          <w:rFonts w:hint="eastAsia" w:ascii="仿宋" w:hAnsi="仿宋" w:eastAsia="仿宋"/>
          <w:b w:val="0"/>
          <w:spacing w:val="-4"/>
          <w:sz w:val="32"/>
          <w:szCs w:val="32"/>
        </w:rPr>
        <w:t>：举办创业培训活动来提高双创基地人气</w:t>
      </w:r>
    </w:p>
    <w:p>
      <w:pPr>
        <w:numPr>
          <w:ilvl w:val="0"/>
          <w:numId w:val="2"/>
        </w:numPr>
        <w:spacing w:line="540" w:lineRule="exact"/>
        <w:ind w:firstLine="936" w:firstLineChars="300"/>
        <w:rPr>
          <w:rStyle w:val="20"/>
          <w:rFonts w:ascii="仿宋" w:hAnsi="仿宋" w:eastAsia="仿宋"/>
          <w:b w:val="0"/>
          <w:spacing w:val="-4"/>
          <w:sz w:val="32"/>
          <w:szCs w:val="32"/>
        </w:rPr>
      </w:pPr>
      <w:r>
        <w:rPr>
          <w:rStyle w:val="20"/>
          <w:rFonts w:hint="eastAsia" w:ascii="黑体" w:hAnsi="黑体" w:eastAsia="黑体"/>
          <w:b w:val="0"/>
          <w:spacing w:val="-4"/>
          <w:sz w:val="32"/>
          <w:szCs w:val="32"/>
        </w:rPr>
        <w:t xml:space="preserve">项目资金使用及管理情况 </w:t>
      </w:r>
    </w:p>
    <w:p>
      <w:pPr>
        <w:spacing w:line="54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spacing w:line="540" w:lineRule="exact"/>
        <w:ind w:firstLine="624" w:firstLineChars="200"/>
        <w:rPr>
          <w:rStyle w:val="20"/>
          <w:rFonts w:ascii="楷体" w:hAnsi="楷体" w:eastAsia="楷体"/>
          <w:spacing w:val="-4"/>
          <w:sz w:val="32"/>
          <w:szCs w:val="32"/>
        </w:rPr>
      </w:pPr>
      <w:r>
        <w:rPr>
          <w:rStyle w:val="20"/>
          <w:rFonts w:hint="eastAsia" w:ascii="仿宋" w:hAnsi="仿宋" w:eastAsia="仿宋"/>
          <w:b w:val="0"/>
          <w:spacing w:val="-4"/>
          <w:sz w:val="32"/>
          <w:szCs w:val="32"/>
        </w:rPr>
        <w:t>2018年度，喀什特区深喀科技创新服务中心该项目原预算249.8115万元用于补贴创新创业平台物业补贴，因中途项目内容有变更实际到位9.9228万元用于补贴创新创业服务平台举办的各类活动，属于财政资金；本单位没有自筹资金。</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p>
      <w:p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双创基地租金物业运营费，全部来自财政资金。主要用于支付活动所需设备采购费和活动举办费。</w:t>
      </w:r>
    </w:p>
    <w:p>
      <w:p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从实际资金使用效果来看，2018年通过以上资金使用情况为入驻企业提供了更优质的创新创业服务。</w:t>
      </w:r>
    </w:p>
    <w:p>
      <w:p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总体上看，项目目标明确、资金到位率高、组织监管体系完善。该项目资金较好地实现了绩效目标。</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spacing w:line="540" w:lineRule="exact"/>
        <w:ind w:firstLine="627" w:firstLineChars="200"/>
        <w:rPr>
          <w:rStyle w:val="20"/>
          <w:rFonts w:ascii="仿宋" w:hAnsi="仿宋" w:eastAsia="仿宋"/>
          <w:b w:val="0"/>
          <w:spacing w:val="-4"/>
          <w:sz w:val="32"/>
          <w:szCs w:val="32"/>
        </w:rPr>
      </w:pPr>
      <w:r>
        <w:rPr>
          <w:rStyle w:val="20"/>
          <w:rFonts w:hint="eastAsia" w:ascii="仿宋" w:hAnsi="仿宋" w:eastAsia="仿宋"/>
          <w:bCs w:val="0"/>
          <w:spacing w:val="-4"/>
          <w:sz w:val="32"/>
          <w:szCs w:val="32"/>
        </w:rPr>
        <w:t>管理制度：</w:t>
      </w:r>
      <w:r>
        <w:rPr>
          <w:rStyle w:val="20"/>
          <w:rFonts w:hint="eastAsia" w:ascii="仿宋" w:hAnsi="仿宋" w:eastAsia="仿宋"/>
          <w:b w:val="0"/>
          <w:spacing w:val="-4"/>
          <w:sz w:val="32"/>
          <w:szCs w:val="32"/>
        </w:rPr>
        <w:t>资金管理上坚持专项专用，并按照活动预算和发票凭证来控制实际支出。</w:t>
      </w:r>
    </w:p>
    <w:p>
      <w:pPr>
        <w:spacing w:line="540" w:lineRule="exact"/>
        <w:ind w:firstLine="627" w:firstLineChars="200"/>
        <w:rPr>
          <w:rStyle w:val="20"/>
          <w:rFonts w:ascii="黑体" w:hAnsi="黑体" w:eastAsia="仿宋"/>
          <w:b w:val="0"/>
          <w:spacing w:val="-4"/>
          <w:sz w:val="32"/>
          <w:szCs w:val="32"/>
        </w:rPr>
      </w:pPr>
      <w:r>
        <w:rPr>
          <w:rStyle w:val="20"/>
          <w:rFonts w:hint="eastAsia" w:ascii="楷体" w:hAnsi="楷体" w:eastAsia="楷体"/>
          <w:spacing w:val="-4"/>
          <w:sz w:val="32"/>
          <w:szCs w:val="32"/>
        </w:rPr>
        <w:t>工作办法：</w:t>
      </w:r>
      <w:r>
        <w:rPr>
          <w:rStyle w:val="20"/>
          <w:rFonts w:hint="eastAsia" w:ascii="仿宋" w:hAnsi="仿宋" w:eastAsia="仿宋"/>
          <w:b w:val="0"/>
          <w:spacing w:val="-4"/>
          <w:sz w:val="32"/>
          <w:szCs w:val="32"/>
        </w:rPr>
        <w:t>该培训活动由深咯双创基地主办，具体事项交由北斗双创企业管理有限公司承办，资金使用饭方面严格按照活动预算和发票凭证来控制实际支出。</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spacing w:line="540" w:lineRule="exact"/>
        <w:ind w:firstLine="610"/>
        <w:rPr>
          <w:rStyle w:val="20"/>
          <w:rFonts w:ascii="仿宋" w:hAnsi="仿宋" w:eastAsia="仿宋"/>
          <w:b w:val="0"/>
          <w:spacing w:val="-4"/>
          <w:sz w:val="32"/>
          <w:szCs w:val="32"/>
        </w:rPr>
      </w:pPr>
      <w:r>
        <w:rPr>
          <w:rStyle w:val="20"/>
          <w:rFonts w:hint="eastAsia" w:ascii="仿宋" w:hAnsi="仿宋" w:eastAsia="仿宋"/>
          <w:b w:val="0"/>
          <w:spacing w:val="-4"/>
          <w:sz w:val="32"/>
          <w:szCs w:val="32"/>
        </w:rPr>
        <w:t>本项目用于支付双创基地主办的创业培训活动所需设备采购费和活动举办费，由本部门直接支付，不涉及招投标行为；验收方式以服务提供单位开具相关发票为依据。</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（二）项目管理情况分析</w:t>
      </w:r>
    </w:p>
    <w:p>
      <w:pPr>
        <w:spacing w:line="540" w:lineRule="exact"/>
        <w:ind w:firstLine="624" w:firstLineChars="200"/>
        <w:rPr>
          <w:rStyle w:val="20"/>
          <w:rFonts w:ascii="黑体" w:hAnsi="黑体" w:eastAsia="仿宋"/>
          <w:b w:val="0"/>
          <w:spacing w:val="-4"/>
          <w:sz w:val="32"/>
          <w:szCs w:val="32"/>
        </w:rPr>
      </w:pPr>
      <w:r>
        <w:rPr>
          <w:rStyle w:val="20"/>
          <w:rFonts w:hint="eastAsia" w:ascii="仿宋" w:hAnsi="仿宋" w:eastAsia="仿宋"/>
          <w:b w:val="0"/>
          <w:spacing w:val="-4"/>
          <w:sz w:val="32"/>
          <w:szCs w:val="32"/>
        </w:rPr>
        <w:t>严格按照活动预算和发票凭证来控制实际支出。</w:t>
      </w:r>
    </w:p>
    <w:p>
      <w:pPr>
        <w:spacing w:line="540" w:lineRule="exact"/>
        <w:ind w:firstLine="627" w:firstLineChars="200"/>
        <w:rPr>
          <w:rStyle w:val="20"/>
          <w:rFonts w:ascii="仿宋" w:hAnsi="仿宋" w:eastAsia="仿宋"/>
          <w:bCs w:val="0"/>
          <w:spacing w:val="-4"/>
          <w:sz w:val="32"/>
          <w:szCs w:val="32"/>
        </w:rPr>
      </w:pPr>
      <w:r>
        <w:rPr>
          <w:rStyle w:val="20"/>
          <w:rFonts w:hint="eastAsia" w:ascii="仿宋" w:hAnsi="仿宋" w:eastAsia="仿宋"/>
          <w:bCs w:val="0"/>
          <w:spacing w:val="-4"/>
          <w:sz w:val="32"/>
          <w:szCs w:val="32"/>
        </w:rPr>
        <w:t>日常检查监督管理：</w:t>
      </w:r>
    </w:p>
    <w:p>
      <w:pPr>
        <w:numPr>
          <w:ilvl w:val="0"/>
          <w:numId w:val="3"/>
        </w:num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严格监督项目实施过程，规范化实施流程，保障项目费用严格按照预算来支出；</w:t>
      </w:r>
    </w:p>
    <w:p>
      <w:pPr>
        <w:numPr>
          <w:ilvl w:val="0"/>
          <w:numId w:val="3"/>
        </w:numPr>
        <w:spacing w:line="540" w:lineRule="exact"/>
        <w:ind w:firstLine="624" w:firstLineChars="200"/>
        <w:rPr>
          <w:rStyle w:val="20"/>
          <w:rFonts w:ascii="黑体" w:hAnsi="黑体" w:eastAsia="黑体"/>
          <w:b w:val="0"/>
          <w:spacing w:val="-4"/>
          <w:sz w:val="32"/>
          <w:szCs w:val="32"/>
        </w:rPr>
      </w:pPr>
      <w:r>
        <w:rPr>
          <w:rStyle w:val="20"/>
          <w:rFonts w:hint="eastAsia" w:ascii="仿宋" w:hAnsi="仿宋" w:eastAsia="仿宋"/>
          <w:b w:val="0"/>
          <w:spacing w:val="-4"/>
          <w:sz w:val="32"/>
          <w:szCs w:val="32"/>
        </w:rPr>
        <w:t>对项目资金费用使用情况严格监督，资金预算制定严格按照既定规范与财务标准，费用按照票据、凭证所注明的实际发生费用予以报销。</w:t>
      </w:r>
    </w:p>
    <w:p>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四、项目绩效情况</w:t>
      </w:r>
      <w:r>
        <w:rPr>
          <w:rStyle w:val="20"/>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bookmarkStart w:id="0" w:name="_Hlk22394689"/>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10</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10</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经济性：设备采购费2.16万元，培训活动经费7.76万元</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效率性：</w:t>
      </w:r>
      <w:r>
        <w:rPr>
          <w:rFonts w:hint="eastAsia" w:ascii="仿宋" w:hAnsi="仿宋" w:eastAsia="仿宋"/>
          <w:bCs/>
          <w:spacing w:val="-4"/>
          <w:sz w:val="32"/>
          <w:szCs w:val="32"/>
        </w:rPr>
        <w:t>如期进行培训</w:t>
      </w:r>
      <w:r>
        <w:rPr>
          <w:rStyle w:val="20"/>
          <w:rFonts w:hint="eastAsia" w:ascii="仿宋" w:hAnsi="仿宋" w:eastAsia="仿宋"/>
          <w:b w:val="0"/>
          <w:spacing w:val="-4"/>
          <w:sz w:val="32"/>
          <w:szCs w:val="32"/>
        </w:rPr>
        <w:t>。</w:t>
      </w:r>
    </w:p>
    <w:p>
      <w:pPr>
        <w:spacing w:line="540" w:lineRule="exact"/>
        <w:ind w:firstLine="564" w:firstLineChars="181"/>
        <w:rPr>
          <w:rStyle w:val="20"/>
          <w:rFonts w:hint="eastAsia" w:ascii="仿宋" w:hAnsi="仿宋" w:eastAsia="仿宋"/>
          <w:b w:val="0"/>
          <w:spacing w:val="-4"/>
          <w:sz w:val="32"/>
          <w:szCs w:val="32"/>
        </w:rPr>
      </w:pPr>
      <w:r>
        <w:rPr>
          <w:rFonts w:hint="eastAsia" w:ascii="仿宋" w:hAnsi="仿宋" w:eastAsia="仿宋"/>
          <w:bCs/>
          <w:spacing w:val="-4"/>
          <w:sz w:val="32"/>
          <w:szCs w:val="32"/>
        </w:rPr>
        <w:t>效益性：塑造创新创业氛围，</w:t>
      </w:r>
      <w:r>
        <w:rPr>
          <w:rStyle w:val="20"/>
          <w:rFonts w:hint="eastAsia" w:ascii="仿宋" w:hAnsi="仿宋" w:eastAsia="仿宋"/>
          <w:b w:val="0"/>
          <w:spacing w:val="-4"/>
          <w:sz w:val="32"/>
          <w:szCs w:val="32"/>
        </w:rPr>
        <w:t>吸引了100多为有创业想法的人参加，</w:t>
      </w:r>
      <w:r>
        <w:rPr>
          <w:rFonts w:hint="eastAsia" w:ascii="仿宋" w:hAnsi="仿宋" w:eastAsia="仿宋"/>
          <w:bCs/>
          <w:spacing w:val="-4"/>
          <w:sz w:val="32"/>
          <w:szCs w:val="32"/>
        </w:rPr>
        <w:t>参加人员收益率达到95%</w:t>
      </w:r>
      <w:r>
        <w:rPr>
          <w:rStyle w:val="20"/>
          <w:rFonts w:hint="eastAsia" w:ascii="仿宋" w:hAnsi="仿宋" w:eastAsia="仿宋"/>
          <w:b w:val="0"/>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20"/>
          <w:rFonts w:hint="eastAsia" w:ascii="仿宋" w:hAnsi="仿宋" w:eastAsia="仿宋"/>
          <w:b w:val="0"/>
          <w:spacing w:val="-4"/>
          <w:sz w:val="32"/>
          <w:szCs w:val="32"/>
        </w:rPr>
      </w:pPr>
      <w:r>
        <w:rPr>
          <w:rFonts w:hint="eastAsia" w:ascii="仿宋" w:hAnsi="仿宋" w:eastAsia="仿宋"/>
          <w:color w:val="auto"/>
          <w:spacing w:val="-4"/>
          <w:sz w:val="32"/>
          <w:szCs w:val="32"/>
        </w:rPr>
        <w:t>2018年本项目绩效目标全部达成，不存在未完成原因分析。</w:t>
      </w:r>
      <w:bookmarkStart w:id="1" w:name="_GoBack"/>
      <w:bookmarkEnd w:id="1"/>
    </w:p>
    <w:bookmarkEnd w:id="0"/>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20"/>
          <w:rFonts w:ascii="仿宋" w:hAnsi="仿宋" w:eastAsia="仿宋"/>
          <w:b w:val="0"/>
          <w:spacing w:val="-4"/>
          <w:sz w:val="32"/>
          <w:szCs w:val="32"/>
        </w:rPr>
      </w:pPr>
      <w:r>
        <w:rPr>
          <w:rStyle w:val="20"/>
          <w:rFonts w:hint="eastAsia" w:ascii="仿宋" w:hAnsi="仿宋" w:eastAsia="仿宋"/>
          <w:b w:val="0"/>
          <w:spacing w:val="-4"/>
          <w:sz w:val="32"/>
          <w:szCs w:val="32"/>
        </w:rPr>
        <w:t>1、严格按照预算执行。</w:t>
      </w:r>
    </w:p>
    <w:p>
      <w:pPr>
        <w:spacing w:line="540" w:lineRule="exact"/>
        <w:ind w:firstLine="564" w:firstLineChars="181"/>
        <w:rPr>
          <w:rStyle w:val="20"/>
          <w:rFonts w:ascii="仿宋" w:hAnsi="仿宋" w:eastAsia="仿宋"/>
          <w:b w:val="0"/>
          <w:spacing w:val="-4"/>
          <w:sz w:val="32"/>
          <w:szCs w:val="32"/>
        </w:rPr>
      </w:pPr>
      <w:r>
        <w:rPr>
          <w:rStyle w:val="20"/>
          <w:rFonts w:hint="eastAsia" w:ascii="仿宋" w:hAnsi="仿宋" w:eastAsia="仿宋"/>
          <w:b w:val="0"/>
          <w:spacing w:val="-4"/>
          <w:sz w:val="32"/>
          <w:szCs w:val="32"/>
        </w:rPr>
        <w:t>2、加强对项目开展实施过程中的监督监管，严格把控项目实施流程与潜在风险，建立项目开展实施管理制度；</w:t>
      </w:r>
    </w:p>
    <w:p>
      <w:pPr>
        <w:spacing w:line="540" w:lineRule="exact"/>
        <w:ind w:firstLine="564" w:firstLineChars="181"/>
        <w:rPr>
          <w:rFonts w:ascii="楷体" w:hAnsi="楷体" w:eastAsia="楷体"/>
          <w:b/>
          <w:spacing w:val="-4"/>
          <w:sz w:val="32"/>
          <w:szCs w:val="32"/>
        </w:rPr>
      </w:pPr>
      <w:r>
        <w:rPr>
          <w:rStyle w:val="20"/>
          <w:rFonts w:hint="eastAsia" w:ascii="仿宋" w:hAnsi="仿宋" w:eastAsia="仿宋"/>
          <w:b w:val="0"/>
          <w:spacing w:val="-4"/>
          <w:sz w:val="32"/>
          <w:szCs w:val="32"/>
        </w:rPr>
        <w:t>3、保证项目实施方案更加细化，任务更加精确，目标更加长远，高瞻远瞩，稳扎稳打，保证项目实际开展工作的可行性与长远性，保证长期利益。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1、建立完善的项目开展报备、评估、审批制度；</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3、保证项目完成后期工作的持续推动，关注项目后期影响；</w:t>
      </w:r>
    </w:p>
    <w:p>
      <w:pPr>
        <w:spacing w:line="540" w:lineRule="exact"/>
        <w:ind w:firstLine="624" w:firstLineChars="200"/>
        <w:rPr>
          <w:rFonts w:ascii="楷体" w:hAnsi="楷体" w:eastAsia="楷体"/>
          <w:b/>
          <w:spacing w:val="-4"/>
          <w:sz w:val="32"/>
          <w:szCs w:val="32"/>
        </w:rPr>
      </w:pPr>
      <w:r>
        <w:rPr>
          <w:rFonts w:hint="eastAsia" w:ascii="仿宋_GB2312" w:eastAsia="仿宋_GB2312"/>
          <w:spacing w:val="-4"/>
          <w:sz w:val="32"/>
          <w:szCs w:val="32"/>
        </w:rPr>
        <w:t xml:space="preserve">4、确保项目实施流程的可监督与公开透明。 </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六、项目评价工作情况</w:t>
      </w:r>
    </w:p>
    <w:p>
      <w:pPr>
        <w:spacing w:line="540" w:lineRule="exact"/>
        <w:ind w:firstLine="564" w:firstLineChars="181"/>
        <w:rPr>
          <w:rStyle w:val="20"/>
          <w:rFonts w:ascii="仿宋" w:hAnsi="仿宋" w:eastAsia="仿宋"/>
          <w:b w:val="0"/>
          <w:spacing w:val="-4"/>
          <w:sz w:val="32"/>
          <w:szCs w:val="32"/>
        </w:rPr>
      </w:pPr>
      <w:r>
        <w:rPr>
          <w:rStyle w:val="20"/>
          <w:rFonts w:hint="eastAsia" w:ascii="仿宋" w:hAnsi="仿宋" w:eastAsia="仿宋"/>
          <w:b w:val="0"/>
          <w:spacing w:val="-4"/>
          <w:sz w:val="32"/>
          <w:szCs w:val="32"/>
        </w:rPr>
        <w:t>项目资金完全按照活动预算来执行，使用率达到了100%，活动经费按照承办方提供的有效发票凭证来为其支付费用。</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spacing w:line="540" w:lineRule="exact"/>
        <w:ind w:firstLine="567"/>
        <w:rPr>
          <w:rStyle w:val="20"/>
          <w:rFonts w:ascii="仿宋" w:hAnsi="仿宋" w:eastAsia="仿宋"/>
          <w:b w:val="0"/>
          <w:spacing w:val="-4"/>
          <w:sz w:val="32"/>
          <w:szCs w:val="32"/>
        </w:rPr>
      </w:pPr>
      <w:r>
        <w:rPr>
          <w:rStyle w:val="20"/>
          <w:rFonts w:hint="eastAsia" w:ascii="仿宋" w:hAnsi="仿宋" w:eastAsia="仿宋"/>
          <w:b w:val="0"/>
          <w:spacing w:val="-4"/>
          <w:sz w:val="32"/>
          <w:szCs w:val="32"/>
        </w:rPr>
        <w:t>《自治区财政项目支出绩效自评表》</w:t>
      </w: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ind w:firstLine="567"/>
        <w:rPr>
          <w:rStyle w:val="20"/>
          <w:rFonts w:ascii="仿宋" w:hAnsi="仿宋" w:eastAsia="仿宋"/>
          <w:b w:val="0"/>
          <w:spacing w:val="-4"/>
          <w:sz w:val="32"/>
          <w:szCs w:val="32"/>
        </w:rPr>
      </w:pPr>
    </w:p>
    <w:p>
      <w:pPr>
        <w:spacing w:line="540" w:lineRule="exact"/>
        <w:rPr>
          <w:rStyle w:val="20"/>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A8E4D3"/>
    <w:multiLevelType w:val="singleLevel"/>
    <w:tmpl w:val="BCA8E4D3"/>
    <w:lvl w:ilvl="0" w:tentative="0">
      <w:start w:val="2"/>
      <w:numFmt w:val="chineseCounting"/>
      <w:suff w:val="nothing"/>
      <w:lvlText w:val="（%1）"/>
      <w:lvlJc w:val="left"/>
      <w:rPr>
        <w:rFonts w:hint="eastAsia"/>
      </w:rPr>
    </w:lvl>
  </w:abstractNum>
  <w:abstractNum w:abstractNumId="1">
    <w:nsid w:val="D3CC4957"/>
    <w:multiLevelType w:val="singleLevel"/>
    <w:tmpl w:val="D3CC4957"/>
    <w:lvl w:ilvl="0" w:tentative="0">
      <w:start w:val="1"/>
      <w:numFmt w:val="decimal"/>
      <w:suff w:val="nothing"/>
      <w:lvlText w:val="%1、"/>
      <w:lvlJc w:val="left"/>
    </w:lvl>
  </w:abstractNum>
  <w:abstractNum w:abstractNumId="2">
    <w:nsid w:val="2E42739E"/>
    <w:multiLevelType w:val="singleLevel"/>
    <w:tmpl w:val="2E42739E"/>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7A6C"/>
    <w:rsid w:val="00032019"/>
    <w:rsid w:val="00056465"/>
    <w:rsid w:val="00121AE4"/>
    <w:rsid w:val="001361F4"/>
    <w:rsid w:val="001451D7"/>
    <w:rsid w:val="00146AAD"/>
    <w:rsid w:val="001B3A40"/>
    <w:rsid w:val="0036514A"/>
    <w:rsid w:val="003A33D0"/>
    <w:rsid w:val="004366A8"/>
    <w:rsid w:val="0044351B"/>
    <w:rsid w:val="00502BA7"/>
    <w:rsid w:val="005162F1"/>
    <w:rsid w:val="00535153"/>
    <w:rsid w:val="00554F82"/>
    <w:rsid w:val="0056390D"/>
    <w:rsid w:val="005719B0"/>
    <w:rsid w:val="005852B1"/>
    <w:rsid w:val="005D10D6"/>
    <w:rsid w:val="00607FEF"/>
    <w:rsid w:val="00687FB2"/>
    <w:rsid w:val="0070121A"/>
    <w:rsid w:val="007B1CAB"/>
    <w:rsid w:val="00855E3A"/>
    <w:rsid w:val="008D150D"/>
    <w:rsid w:val="009111DF"/>
    <w:rsid w:val="00922CB9"/>
    <w:rsid w:val="009E5CD9"/>
    <w:rsid w:val="00A26421"/>
    <w:rsid w:val="00A4293B"/>
    <w:rsid w:val="00A67D50"/>
    <w:rsid w:val="00A8691A"/>
    <w:rsid w:val="00AC1946"/>
    <w:rsid w:val="00B40063"/>
    <w:rsid w:val="00B41F61"/>
    <w:rsid w:val="00B5219B"/>
    <w:rsid w:val="00B57657"/>
    <w:rsid w:val="00B935E7"/>
    <w:rsid w:val="00BA46E6"/>
    <w:rsid w:val="00C56C72"/>
    <w:rsid w:val="00CA6457"/>
    <w:rsid w:val="00CB2D53"/>
    <w:rsid w:val="00CB5548"/>
    <w:rsid w:val="00D17984"/>
    <w:rsid w:val="00D17F2E"/>
    <w:rsid w:val="00D30354"/>
    <w:rsid w:val="00D37ADC"/>
    <w:rsid w:val="00DF42A0"/>
    <w:rsid w:val="00E42A85"/>
    <w:rsid w:val="00E769FE"/>
    <w:rsid w:val="00EA2CBE"/>
    <w:rsid w:val="00ED5E09"/>
    <w:rsid w:val="00EF1B7A"/>
    <w:rsid w:val="00F01CD9"/>
    <w:rsid w:val="00F32FEE"/>
    <w:rsid w:val="00FB10BB"/>
    <w:rsid w:val="00FF5801"/>
    <w:rsid w:val="018D3103"/>
    <w:rsid w:val="092E7858"/>
    <w:rsid w:val="140738A6"/>
    <w:rsid w:val="21322C17"/>
    <w:rsid w:val="24FE18DD"/>
    <w:rsid w:val="25D262E3"/>
    <w:rsid w:val="33BD1D07"/>
    <w:rsid w:val="39C90013"/>
    <w:rsid w:val="39DA2E0E"/>
    <w:rsid w:val="590A3892"/>
    <w:rsid w:val="65795122"/>
    <w:rsid w:val="6B1E4E95"/>
    <w:rsid w:val="6C796BF4"/>
    <w:rsid w:val="6DF14FDD"/>
    <w:rsid w:val="6EA4708C"/>
    <w:rsid w:val="7DEE2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49"/>
    <w:semiHidden/>
    <w:unhideWhenUsed/>
    <w:qFormat/>
    <w:uiPriority w:val="99"/>
    <w:pPr>
      <w:jc w:val="left"/>
    </w:pPr>
  </w:style>
  <w:style w:type="paragraph" w:styleId="12">
    <w:name w:val="Balloon Text"/>
    <w:basedOn w:val="1"/>
    <w:link w:val="48"/>
    <w:unhideWhenUsed/>
    <w:qFormat/>
    <w:uiPriority w:val="99"/>
    <w:rPr>
      <w:sz w:val="18"/>
      <w:szCs w:val="18"/>
    </w:rPr>
  </w:style>
  <w:style w:type="paragraph" w:styleId="13">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7">
    <w:name w:val="annotation subject"/>
    <w:basedOn w:val="11"/>
    <w:next w:val="11"/>
    <w:link w:val="50"/>
    <w:semiHidden/>
    <w:unhideWhenUsed/>
    <w:qFormat/>
    <w:uiPriority w:val="99"/>
    <w:rPr>
      <w:b/>
      <w:bCs/>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styleId="22">
    <w:name w:val="annotation reference"/>
    <w:basedOn w:val="19"/>
    <w:semiHidden/>
    <w:unhideWhenUsed/>
    <w:qFormat/>
    <w:uiPriority w:val="99"/>
    <w:rPr>
      <w:sz w:val="21"/>
      <w:szCs w:val="21"/>
    </w:rPr>
  </w:style>
  <w:style w:type="character" w:customStyle="1" w:styleId="23">
    <w:name w:val="标题 1 字符"/>
    <w:basedOn w:val="19"/>
    <w:link w:val="2"/>
    <w:qFormat/>
    <w:uiPriority w:val="9"/>
    <w:rPr>
      <w:rFonts w:asciiTheme="majorHAnsi" w:hAnsiTheme="majorHAnsi" w:eastAsiaTheme="majorEastAsia"/>
      <w:b/>
      <w:bCs/>
      <w:kern w:val="32"/>
      <w:sz w:val="32"/>
      <w:szCs w:val="32"/>
    </w:rPr>
  </w:style>
  <w:style w:type="character" w:customStyle="1" w:styleId="24">
    <w:name w:val="标题 2 字符"/>
    <w:basedOn w:val="19"/>
    <w:link w:val="3"/>
    <w:semiHidden/>
    <w:qFormat/>
    <w:uiPriority w:val="9"/>
    <w:rPr>
      <w:rFonts w:asciiTheme="majorHAnsi" w:hAnsiTheme="majorHAnsi" w:eastAsiaTheme="majorEastAsia"/>
      <w:b/>
      <w:bCs/>
      <w:i/>
      <w:iCs/>
      <w:sz w:val="28"/>
      <w:szCs w:val="28"/>
    </w:rPr>
  </w:style>
  <w:style w:type="character" w:customStyle="1" w:styleId="25">
    <w:name w:val="标题 3 字符"/>
    <w:basedOn w:val="19"/>
    <w:link w:val="4"/>
    <w:semiHidden/>
    <w:qFormat/>
    <w:uiPriority w:val="9"/>
    <w:rPr>
      <w:rFonts w:asciiTheme="majorHAnsi" w:hAnsiTheme="majorHAnsi" w:eastAsiaTheme="majorEastAsia"/>
      <w:b/>
      <w:bCs/>
      <w:sz w:val="26"/>
      <w:szCs w:val="26"/>
    </w:rPr>
  </w:style>
  <w:style w:type="character" w:customStyle="1" w:styleId="26">
    <w:name w:val="标题 4 字符"/>
    <w:basedOn w:val="19"/>
    <w:link w:val="5"/>
    <w:semiHidden/>
    <w:qFormat/>
    <w:uiPriority w:val="9"/>
    <w:rPr>
      <w:b/>
      <w:bCs/>
      <w:sz w:val="28"/>
      <w:szCs w:val="28"/>
    </w:rPr>
  </w:style>
  <w:style w:type="character" w:customStyle="1" w:styleId="27">
    <w:name w:val="标题 5 字符"/>
    <w:basedOn w:val="19"/>
    <w:link w:val="6"/>
    <w:semiHidden/>
    <w:qFormat/>
    <w:uiPriority w:val="9"/>
    <w:rPr>
      <w:b/>
      <w:bCs/>
      <w:i/>
      <w:iCs/>
      <w:sz w:val="26"/>
      <w:szCs w:val="26"/>
    </w:rPr>
  </w:style>
  <w:style w:type="character" w:customStyle="1" w:styleId="28">
    <w:name w:val="标题 6 字符"/>
    <w:basedOn w:val="19"/>
    <w:link w:val="7"/>
    <w:semiHidden/>
    <w:qFormat/>
    <w:uiPriority w:val="9"/>
    <w:rPr>
      <w:b/>
      <w:bCs/>
    </w:rPr>
  </w:style>
  <w:style w:type="character" w:customStyle="1" w:styleId="29">
    <w:name w:val="标题 7 字符"/>
    <w:basedOn w:val="19"/>
    <w:link w:val="8"/>
    <w:semiHidden/>
    <w:qFormat/>
    <w:uiPriority w:val="9"/>
    <w:rPr>
      <w:sz w:val="24"/>
      <w:szCs w:val="24"/>
    </w:rPr>
  </w:style>
  <w:style w:type="character" w:customStyle="1" w:styleId="30">
    <w:name w:val="标题 8 字符"/>
    <w:basedOn w:val="19"/>
    <w:link w:val="9"/>
    <w:semiHidden/>
    <w:qFormat/>
    <w:uiPriority w:val="9"/>
    <w:rPr>
      <w:i/>
      <w:iCs/>
      <w:sz w:val="24"/>
      <w:szCs w:val="24"/>
    </w:rPr>
  </w:style>
  <w:style w:type="character" w:customStyle="1" w:styleId="31">
    <w:name w:val="标题 9 字符"/>
    <w:basedOn w:val="19"/>
    <w:link w:val="10"/>
    <w:semiHidden/>
    <w:qFormat/>
    <w:uiPriority w:val="9"/>
    <w:rPr>
      <w:rFonts w:asciiTheme="majorHAnsi" w:hAnsiTheme="majorHAnsi" w:eastAsiaTheme="majorEastAsia"/>
    </w:rPr>
  </w:style>
  <w:style w:type="character" w:customStyle="1" w:styleId="32">
    <w:name w:val="标题 字符"/>
    <w:basedOn w:val="19"/>
    <w:link w:val="16"/>
    <w:qFormat/>
    <w:uiPriority w:val="10"/>
    <w:rPr>
      <w:rFonts w:asciiTheme="majorHAnsi" w:hAnsiTheme="majorHAnsi" w:eastAsiaTheme="majorEastAsia"/>
      <w:b/>
      <w:bCs/>
      <w:kern w:val="28"/>
      <w:sz w:val="32"/>
      <w:szCs w:val="32"/>
    </w:rPr>
  </w:style>
  <w:style w:type="character" w:customStyle="1" w:styleId="33">
    <w:name w:val="副标题 字符"/>
    <w:basedOn w:val="19"/>
    <w:link w:val="15"/>
    <w:qFormat/>
    <w:uiPriority w:val="11"/>
    <w:rPr>
      <w:rFonts w:asciiTheme="majorHAnsi" w:hAnsiTheme="majorHAnsi" w:eastAsiaTheme="majorEastAsia"/>
      <w:sz w:val="24"/>
      <w:szCs w:val="24"/>
    </w:rPr>
  </w:style>
  <w:style w:type="paragraph" w:customStyle="1" w:styleId="34">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5">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6">
    <w:name w:val="引用1"/>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9"/>
    <w:link w:val="36"/>
    <w:qFormat/>
    <w:uiPriority w:val="29"/>
    <w:rPr>
      <w:i/>
      <w:sz w:val="24"/>
      <w:szCs w:val="24"/>
    </w:rPr>
  </w:style>
  <w:style w:type="paragraph" w:customStyle="1" w:styleId="38">
    <w:name w:val="明显引用1"/>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9"/>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19"/>
    <w:qFormat/>
    <w:uiPriority w:val="21"/>
    <w:rPr>
      <w:b/>
      <w:i/>
      <w:sz w:val="24"/>
      <w:szCs w:val="24"/>
      <w:u w:val="single"/>
    </w:rPr>
  </w:style>
  <w:style w:type="character" w:customStyle="1" w:styleId="42">
    <w:name w:val="不明显参考1"/>
    <w:basedOn w:val="19"/>
    <w:qFormat/>
    <w:uiPriority w:val="31"/>
    <w:rPr>
      <w:sz w:val="24"/>
      <w:szCs w:val="24"/>
      <w:u w:val="single"/>
    </w:rPr>
  </w:style>
  <w:style w:type="character" w:customStyle="1" w:styleId="43">
    <w:name w:val="明显参考1"/>
    <w:basedOn w:val="19"/>
    <w:qFormat/>
    <w:uiPriority w:val="32"/>
    <w:rPr>
      <w:b/>
      <w:sz w:val="24"/>
      <w:u w:val="single"/>
    </w:rPr>
  </w:style>
  <w:style w:type="character" w:customStyle="1" w:styleId="44">
    <w:name w:val="书籍标题1"/>
    <w:basedOn w:val="19"/>
    <w:qFormat/>
    <w:uiPriority w:val="33"/>
    <w:rPr>
      <w:rFonts w:asciiTheme="majorHAnsi" w:hAnsiTheme="majorHAnsi" w:eastAsiaTheme="majorEastAsia"/>
      <w:b/>
      <w:i/>
      <w:sz w:val="24"/>
      <w:szCs w:val="24"/>
    </w:rPr>
  </w:style>
  <w:style w:type="paragraph" w:customStyle="1" w:styleId="45">
    <w:name w:val="TOC 标题1"/>
    <w:basedOn w:val="2"/>
    <w:next w:val="1"/>
    <w:unhideWhenUsed/>
    <w:qFormat/>
    <w:uiPriority w:val="39"/>
    <w:pPr>
      <w:outlineLvl w:val="9"/>
    </w:pPr>
    <w:rPr>
      <w:lang w:eastAsia="en-US" w:bidi="en-US"/>
    </w:rPr>
  </w:style>
  <w:style w:type="character" w:customStyle="1" w:styleId="46">
    <w:name w:val="页眉 字符"/>
    <w:basedOn w:val="19"/>
    <w:link w:val="14"/>
    <w:qFormat/>
    <w:uiPriority w:val="99"/>
    <w:rPr>
      <w:rFonts w:ascii="Calibri" w:hAnsi="Calibri" w:eastAsia="宋体"/>
      <w:kern w:val="2"/>
      <w:sz w:val="18"/>
      <w:szCs w:val="18"/>
    </w:rPr>
  </w:style>
  <w:style w:type="character" w:customStyle="1" w:styleId="47">
    <w:name w:val="页脚 字符"/>
    <w:basedOn w:val="19"/>
    <w:link w:val="13"/>
    <w:qFormat/>
    <w:uiPriority w:val="99"/>
    <w:rPr>
      <w:rFonts w:ascii="Calibri" w:hAnsi="Calibri" w:eastAsia="宋体"/>
      <w:kern w:val="2"/>
      <w:sz w:val="18"/>
      <w:szCs w:val="18"/>
    </w:rPr>
  </w:style>
  <w:style w:type="character" w:customStyle="1" w:styleId="48">
    <w:name w:val="批注框文本 字符"/>
    <w:basedOn w:val="19"/>
    <w:link w:val="12"/>
    <w:semiHidden/>
    <w:qFormat/>
    <w:uiPriority w:val="99"/>
    <w:rPr>
      <w:rFonts w:ascii="Times New Roman" w:hAnsi="Times New Roman" w:eastAsia="宋体"/>
      <w:kern w:val="2"/>
      <w:sz w:val="18"/>
      <w:szCs w:val="18"/>
    </w:rPr>
  </w:style>
  <w:style w:type="character" w:customStyle="1" w:styleId="49">
    <w:name w:val="批注文字 字符"/>
    <w:basedOn w:val="19"/>
    <w:link w:val="11"/>
    <w:semiHidden/>
    <w:qFormat/>
    <w:uiPriority w:val="99"/>
    <w:rPr>
      <w:kern w:val="2"/>
      <w:sz w:val="21"/>
      <w:szCs w:val="24"/>
    </w:rPr>
  </w:style>
  <w:style w:type="character" w:customStyle="1" w:styleId="50">
    <w:name w:val="批注主题 字符"/>
    <w:basedOn w:val="49"/>
    <w:link w:val="17"/>
    <w:semiHidden/>
    <w:qFormat/>
    <w:uiPriority w:val="99"/>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267</Words>
  <Characters>1524</Characters>
  <Lines>12</Lines>
  <Paragraphs>3</Paragraphs>
  <TotalTime>0</TotalTime>
  <ScaleCrop>false</ScaleCrop>
  <LinksUpToDate>false</LinksUpToDate>
  <CharactersWithSpaces>1788</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2019-03-14T02:52:00Z</dcterms:created>
  <dc:creator>赵 恺（预算处）</dc:creator>
  <cp:lastModifiedBy>angelia</cp:lastModifiedBy>
  <cp:lastPrinted>2018-12-31T10:56:00Z</cp:lastPrinted>
  <dcterms:modified xsi:type="dcterms:W3CDTF">2019-10-20T17:24:23Z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