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项目名称：第五届深喀“创业之星”大赛奖金及举办费用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实施单位（公章）：喀什经济开发区发展改革和经济促进局（科创中心）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填报时间：2019年03月09日</w:t>
      </w:r>
    </w:p>
    <w:p>
      <w:pPr>
        <w:spacing w:line="540" w:lineRule="exact"/>
        <w:ind w:firstLine="640"/>
        <w:rPr>
          <w:rStyle w:val="24"/>
          <w:rFonts w:ascii="黑体" w:hAnsi="黑体" w:eastAsia="黑体"/>
          <w:b w:val="0"/>
          <w:spacing w:val="-4"/>
          <w:sz w:val="32"/>
          <w:szCs w:val="32"/>
        </w:rPr>
      </w:pPr>
      <w:r>
        <w:rPr>
          <w:rStyle w:val="24"/>
          <w:rFonts w:hint="eastAsia" w:ascii="黑体" w:hAnsi="黑体" w:eastAsia="黑体"/>
          <w:b w:val="0"/>
          <w:spacing w:val="-4"/>
          <w:sz w:val="32"/>
          <w:szCs w:val="32"/>
        </w:rPr>
        <w:t>一、项目概况</w:t>
      </w:r>
    </w:p>
    <w:p>
      <w:pPr>
        <w:spacing w:line="540" w:lineRule="exact"/>
        <w:ind w:firstLine="567"/>
        <w:rPr>
          <w:rStyle w:val="24"/>
          <w:rFonts w:ascii="楷体" w:hAnsi="楷体" w:eastAsia="楷体"/>
          <w:spacing w:val="-4"/>
          <w:sz w:val="32"/>
          <w:szCs w:val="32"/>
        </w:rPr>
      </w:pPr>
      <w:r>
        <w:rPr>
          <w:rStyle w:val="24"/>
          <w:rFonts w:hint="eastAsia" w:ascii="楷体" w:hAnsi="楷体" w:eastAsia="楷体"/>
          <w:spacing w:val="-4"/>
          <w:sz w:val="32"/>
          <w:szCs w:val="32"/>
        </w:rPr>
        <w:t>（一）项目单位基本情况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喀什经济开发区发展改革和经济促进局是喀什经济开发区管委会下属的全额拨款行政单位。。喀什经济开发区发展改革和经济促进局，编制数15人，其中：行政人员编制5人，参照公务员管理的事业单位人员编制0人，全额拨款事业单位人员编制10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pPr>
        <w:numPr>
          <w:ilvl w:val="0"/>
          <w:numId w:val="1"/>
        </w:numPr>
        <w:spacing w:line="540" w:lineRule="exact"/>
        <w:ind w:firstLine="567" w:firstLineChars="181"/>
        <w:rPr>
          <w:rStyle w:val="24"/>
          <w:rFonts w:ascii="楷体" w:hAnsi="楷体" w:eastAsia="楷体"/>
          <w:spacing w:val="-4"/>
          <w:sz w:val="32"/>
          <w:szCs w:val="32"/>
        </w:rPr>
      </w:pPr>
      <w:r>
        <w:rPr>
          <w:rStyle w:val="24"/>
          <w:rFonts w:hint="eastAsia" w:ascii="楷体" w:hAnsi="楷体" w:eastAsia="楷体"/>
          <w:spacing w:val="-4"/>
          <w:sz w:val="32"/>
          <w:szCs w:val="32"/>
        </w:rPr>
        <w:t>项目预算</w:t>
      </w:r>
      <w:r>
        <w:rPr>
          <w:rStyle w:val="24"/>
          <w:rFonts w:ascii="楷体" w:hAnsi="楷体" w:eastAsia="楷体"/>
          <w:spacing w:val="-4"/>
          <w:sz w:val="32"/>
          <w:szCs w:val="32"/>
        </w:rPr>
        <w:t>绩效目标</w:t>
      </w:r>
      <w:r>
        <w:rPr>
          <w:rStyle w:val="24"/>
          <w:rFonts w:hint="eastAsia" w:ascii="楷体" w:hAnsi="楷体" w:eastAsia="楷体"/>
          <w:spacing w:val="-4"/>
          <w:sz w:val="32"/>
          <w:szCs w:val="32"/>
        </w:rPr>
        <w:t>设定情况</w:t>
      </w:r>
    </w:p>
    <w:p>
      <w:pPr>
        <w:spacing w:line="540" w:lineRule="exact"/>
        <w:rPr>
          <w:rStyle w:val="24"/>
          <w:rFonts w:ascii="仿宋" w:hAnsi="仿宋" w:eastAsia="仿宋"/>
          <w:b w:val="0"/>
          <w:spacing w:val="-4"/>
          <w:sz w:val="32"/>
          <w:szCs w:val="32"/>
        </w:rPr>
      </w:pPr>
      <w:r>
        <w:rPr>
          <w:rStyle w:val="24"/>
          <w:rFonts w:hint="eastAsia" w:ascii="楷体" w:hAnsi="楷体" w:eastAsia="楷体"/>
          <w:spacing w:val="-4"/>
          <w:sz w:val="32"/>
          <w:szCs w:val="32"/>
        </w:rPr>
        <w:t xml:space="preserve">     </w:t>
      </w:r>
      <w:r>
        <w:rPr>
          <w:rFonts w:hint="eastAsia" w:ascii="仿宋" w:hAnsi="仿宋" w:eastAsia="仿宋"/>
          <w:b/>
          <w:spacing w:val="-4"/>
          <w:sz w:val="32"/>
          <w:szCs w:val="32"/>
        </w:rPr>
        <w:t>预期目标：</w:t>
      </w:r>
      <w:r>
        <w:rPr>
          <w:rStyle w:val="24"/>
          <w:rFonts w:hint="eastAsia" w:ascii="仿宋" w:hAnsi="仿宋" w:eastAsia="仿宋"/>
          <w:b w:val="0"/>
          <w:spacing w:val="-4"/>
          <w:sz w:val="32"/>
          <w:szCs w:val="32"/>
        </w:rPr>
        <w:t>喀什特区深喀科技创新服务中心通过举办创业之星大赛来在喀什营造创新创业氛围，</w:t>
      </w:r>
      <w:bookmarkStart w:id="0" w:name="_Hlk22388991"/>
      <w:r>
        <w:rPr>
          <w:rStyle w:val="24"/>
          <w:rFonts w:hint="eastAsia" w:ascii="仿宋" w:hAnsi="仿宋" w:eastAsia="仿宋"/>
          <w:b w:val="0"/>
          <w:spacing w:val="-4"/>
          <w:sz w:val="32"/>
          <w:szCs w:val="32"/>
        </w:rPr>
        <w:t>让更多的人参与到大众创业万众创新的行列中，达到创造、解决就业，以业稳人</w:t>
      </w:r>
      <w:bookmarkEnd w:id="0"/>
      <w:r>
        <w:rPr>
          <w:rStyle w:val="24"/>
          <w:rFonts w:hint="eastAsia" w:ascii="仿宋" w:hAnsi="仿宋" w:eastAsia="仿宋"/>
          <w:b w:val="0"/>
          <w:spacing w:val="-4"/>
          <w:sz w:val="32"/>
          <w:szCs w:val="32"/>
        </w:rPr>
        <w:t>的目标。主要用于支付创业之星大赛奖金和举办费用。</w:t>
      </w:r>
    </w:p>
    <w:p>
      <w:pPr>
        <w:spacing w:line="540" w:lineRule="exact"/>
        <w:ind w:firstLine="627" w:firstLineChars="200"/>
        <w:rPr>
          <w:rFonts w:ascii="仿宋" w:hAnsi="仿宋" w:eastAsia="仿宋"/>
          <w:bCs/>
          <w:spacing w:val="-4"/>
          <w:sz w:val="32"/>
          <w:szCs w:val="32"/>
        </w:rPr>
      </w:pPr>
      <w:r>
        <w:rPr>
          <w:rFonts w:hint="eastAsia" w:ascii="仿宋" w:hAnsi="仿宋" w:eastAsia="仿宋"/>
          <w:b/>
          <w:spacing w:val="-4"/>
          <w:sz w:val="32"/>
          <w:szCs w:val="32"/>
        </w:rPr>
        <w:t>阶段性目标：</w:t>
      </w:r>
      <w:r>
        <w:rPr>
          <w:rFonts w:hint="eastAsia" w:ascii="仿宋" w:hAnsi="仿宋" w:eastAsia="仿宋"/>
          <w:bCs/>
          <w:spacing w:val="-4"/>
          <w:sz w:val="32"/>
          <w:szCs w:val="32"/>
        </w:rPr>
        <w:t>成功举办了第五届深喀“创业之星”大赛，并</w:t>
      </w:r>
      <w:bookmarkStart w:id="1" w:name="_Hlk22389128"/>
      <w:r>
        <w:rPr>
          <w:rFonts w:hint="eastAsia" w:ascii="仿宋" w:hAnsi="仿宋" w:eastAsia="仿宋"/>
          <w:bCs/>
          <w:spacing w:val="-4"/>
          <w:sz w:val="32"/>
          <w:szCs w:val="32"/>
        </w:rPr>
        <w:t>吸引70多家企业和团体参加大赛</w:t>
      </w:r>
      <w:bookmarkEnd w:id="1"/>
      <w:r>
        <w:rPr>
          <w:rFonts w:hint="eastAsia" w:ascii="仿宋" w:hAnsi="仿宋" w:eastAsia="仿宋"/>
          <w:bCs/>
          <w:spacing w:val="-4"/>
          <w:sz w:val="32"/>
          <w:szCs w:val="32"/>
        </w:rPr>
        <w:t>，超出我们当初的预期目标50家，其中不乏适合落户双创基地的优秀项目，观看总决赛的人数超过250人。在喀什范围内也引起了大众创业万众创新的氛围。</w:t>
      </w:r>
    </w:p>
    <w:p>
      <w:pPr>
        <w:spacing w:line="540" w:lineRule="exact"/>
        <w:ind w:firstLine="627" w:firstLineChars="200"/>
        <w:rPr>
          <w:rFonts w:ascii="仿宋" w:hAnsi="仿宋" w:eastAsia="仿宋"/>
          <w:bCs/>
          <w:spacing w:val="-4"/>
          <w:sz w:val="32"/>
          <w:szCs w:val="32"/>
        </w:rPr>
      </w:pPr>
      <w:r>
        <w:rPr>
          <w:rFonts w:hint="eastAsia" w:ascii="仿宋" w:hAnsi="仿宋" w:eastAsia="仿宋"/>
          <w:b/>
          <w:spacing w:val="-4"/>
          <w:sz w:val="32"/>
          <w:szCs w:val="32"/>
        </w:rPr>
        <w:t>项目基本性质</w:t>
      </w:r>
      <w:r>
        <w:rPr>
          <w:rFonts w:hint="eastAsia" w:ascii="仿宋" w:hAnsi="仿宋" w:eastAsia="仿宋"/>
          <w:bCs/>
          <w:spacing w:val="-4"/>
          <w:sz w:val="32"/>
          <w:szCs w:val="32"/>
        </w:rPr>
        <w:t>：新增项目</w:t>
      </w:r>
    </w:p>
    <w:p>
      <w:pPr>
        <w:spacing w:line="540" w:lineRule="exact"/>
        <w:ind w:firstLine="627" w:firstLineChars="200"/>
        <w:rPr>
          <w:rStyle w:val="24"/>
          <w:rFonts w:ascii="仿宋" w:hAnsi="仿宋" w:eastAsia="仿宋"/>
          <w:b w:val="0"/>
          <w:spacing w:val="-4"/>
          <w:sz w:val="32"/>
          <w:szCs w:val="32"/>
        </w:rPr>
      </w:pPr>
      <w:r>
        <w:rPr>
          <w:rStyle w:val="24"/>
          <w:rFonts w:hint="eastAsia" w:ascii="仿宋" w:hAnsi="仿宋" w:eastAsia="仿宋"/>
          <w:bCs w:val="0"/>
          <w:spacing w:val="-4"/>
          <w:sz w:val="32"/>
          <w:szCs w:val="32"/>
        </w:rPr>
        <w:t>用途和主要内容：</w:t>
      </w:r>
      <w:bookmarkStart w:id="2" w:name="_Hlk22389093"/>
      <w:r>
        <w:rPr>
          <w:rStyle w:val="24"/>
          <w:rFonts w:hint="eastAsia" w:ascii="仿宋" w:hAnsi="仿宋" w:eastAsia="仿宋"/>
          <w:b w:val="0"/>
          <w:spacing w:val="-4"/>
          <w:sz w:val="32"/>
          <w:szCs w:val="32"/>
        </w:rPr>
        <w:t>举办第五届深喀“创业之星”</w:t>
      </w:r>
      <w:bookmarkEnd w:id="2"/>
      <w:r>
        <w:rPr>
          <w:rStyle w:val="24"/>
          <w:rFonts w:hint="eastAsia" w:ascii="仿宋" w:hAnsi="仿宋" w:eastAsia="仿宋"/>
          <w:b w:val="0"/>
          <w:spacing w:val="-4"/>
          <w:sz w:val="32"/>
          <w:szCs w:val="32"/>
        </w:rPr>
        <w:t>大赛，让更多的人参与到大众创业万众创新的行列中，达到创造、解决就业，以业稳人</w:t>
      </w:r>
    </w:p>
    <w:p>
      <w:pPr>
        <w:spacing w:line="540" w:lineRule="exact"/>
        <w:ind w:firstLine="627" w:firstLineChars="200"/>
        <w:rPr>
          <w:rStyle w:val="24"/>
          <w:rFonts w:ascii="楷体" w:hAnsi="楷体" w:eastAsia="楷体"/>
          <w:b w:val="0"/>
          <w:spacing w:val="-4"/>
          <w:sz w:val="32"/>
          <w:szCs w:val="32"/>
        </w:rPr>
      </w:pPr>
      <w:r>
        <w:rPr>
          <w:rStyle w:val="24"/>
          <w:rFonts w:hint="eastAsia" w:ascii="仿宋" w:hAnsi="仿宋" w:eastAsia="仿宋"/>
          <w:bCs w:val="0"/>
          <w:spacing w:val="-4"/>
          <w:sz w:val="32"/>
          <w:szCs w:val="32"/>
        </w:rPr>
        <w:t>涉及范围</w:t>
      </w:r>
      <w:r>
        <w:rPr>
          <w:rStyle w:val="24"/>
          <w:rFonts w:hint="eastAsia" w:ascii="仿宋" w:hAnsi="仿宋" w:eastAsia="仿宋"/>
          <w:b w:val="0"/>
          <w:spacing w:val="-4"/>
          <w:sz w:val="32"/>
          <w:szCs w:val="32"/>
        </w:rPr>
        <w:t>：举办第五届深喀“创业之星”，</w:t>
      </w:r>
      <w:r>
        <w:rPr>
          <w:rFonts w:hint="eastAsia" w:ascii="仿宋" w:hAnsi="仿宋" w:eastAsia="仿宋"/>
          <w:bCs/>
          <w:spacing w:val="-4"/>
          <w:sz w:val="32"/>
          <w:szCs w:val="32"/>
        </w:rPr>
        <w:t>吸引多家企业和团体参加大赛。</w:t>
      </w:r>
    </w:p>
    <w:p>
      <w:pPr>
        <w:spacing w:line="540" w:lineRule="exact"/>
        <w:ind w:firstLine="640"/>
        <w:rPr>
          <w:rStyle w:val="24"/>
          <w:rFonts w:ascii="黑体" w:hAnsi="黑体" w:eastAsia="黑体"/>
          <w:b w:val="0"/>
          <w:spacing w:val="-4"/>
          <w:sz w:val="32"/>
          <w:szCs w:val="32"/>
        </w:rPr>
      </w:pPr>
      <w:r>
        <w:rPr>
          <w:rStyle w:val="24"/>
          <w:rFonts w:hint="eastAsia" w:ascii="黑体" w:hAnsi="黑体" w:eastAsia="黑体"/>
          <w:b w:val="0"/>
          <w:spacing w:val="-4"/>
          <w:sz w:val="32"/>
          <w:szCs w:val="32"/>
        </w:rPr>
        <w:t>二、项目资金使用及管理情况</w:t>
      </w:r>
    </w:p>
    <w:p>
      <w:pPr>
        <w:spacing w:line="540" w:lineRule="exact"/>
        <w:ind w:firstLine="567" w:firstLineChars="181"/>
        <w:rPr>
          <w:rStyle w:val="24"/>
          <w:rFonts w:ascii="楷体" w:hAnsi="楷体" w:eastAsia="楷体"/>
          <w:spacing w:val="-4"/>
          <w:sz w:val="32"/>
          <w:szCs w:val="32"/>
        </w:rPr>
      </w:pPr>
      <w:r>
        <w:rPr>
          <w:rStyle w:val="24"/>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outlineLvl w:val="0"/>
        <w:rPr>
          <w:rStyle w:val="24"/>
          <w:rFonts w:ascii="仿宋" w:hAnsi="仿宋" w:eastAsia="仿宋"/>
          <w:b w:val="0"/>
          <w:spacing w:val="-4"/>
          <w:sz w:val="32"/>
          <w:szCs w:val="32"/>
        </w:rPr>
      </w:pPr>
      <w:r>
        <w:rPr>
          <w:rStyle w:val="24"/>
          <w:rFonts w:hint="eastAsia" w:ascii="仿宋" w:hAnsi="仿宋" w:eastAsia="仿宋"/>
          <w:b w:val="0"/>
          <w:spacing w:val="-4"/>
          <w:sz w:val="32"/>
          <w:szCs w:val="32"/>
        </w:rPr>
        <w:t>2018年度，喀什特区深喀科技创新服务中心该项目</w:t>
      </w:r>
      <w:r>
        <w:rPr>
          <w:rFonts w:hint="eastAsia" w:ascii="仿宋" w:hAnsi="仿宋" w:eastAsia="仿宋" w:cs="Times New Roman"/>
          <w:color w:val="auto"/>
          <w:kern w:val="2"/>
          <w:sz w:val="32"/>
          <w:szCs w:val="32"/>
          <w:shd w:val="clear" w:color="auto" w:fill="auto"/>
          <w:lang w:val="en-US" w:eastAsia="zh-CN" w:bidi="ar-SA"/>
        </w:rPr>
        <w:t>项目</w:t>
      </w:r>
      <w:r>
        <w:rPr>
          <w:rFonts w:hint="eastAsia" w:ascii="仿宋" w:hAnsi="仿宋" w:eastAsia="仿宋"/>
          <w:color w:val="auto"/>
          <w:sz w:val="32"/>
          <w:szCs w:val="32"/>
          <w:shd w:val="clear" w:color="auto" w:fill="auto"/>
          <w:lang w:val="en-US" w:eastAsia="zh-CN"/>
        </w:rPr>
        <w:t>预算安排总额为261.19万元，其中财政资金261.19万元，2018年实际收到预算资金261.19万元。</w:t>
      </w:r>
    </w:p>
    <w:p>
      <w:pPr>
        <w:spacing w:line="540" w:lineRule="exact"/>
        <w:ind w:firstLine="313" w:firstLineChars="100"/>
        <w:rPr>
          <w:rStyle w:val="24"/>
          <w:rFonts w:ascii="楷体" w:hAnsi="楷体" w:eastAsia="楷体"/>
          <w:spacing w:val="-4"/>
          <w:sz w:val="32"/>
          <w:szCs w:val="32"/>
        </w:rPr>
      </w:pPr>
      <w:r>
        <w:rPr>
          <w:rStyle w:val="24"/>
          <w:rFonts w:hint="eastAsia" w:ascii="楷体" w:hAnsi="楷体" w:eastAsia="楷体"/>
          <w:spacing w:val="-4"/>
          <w:sz w:val="32"/>
          <w:szCs w:val="32"/>
        </w:rPr>
        <w:t>（二）项目资金实际使用情况分析</w:t>
      </w:r>
    </w:p>
    <w:p>
      <w:pPr>
        <w:spacing w:line="540" w:lineRule="exact"/>
        <w:ind w:firstLine="624" w:firstLineChars="200"/>
        <w:rPr>
          <w:rStyle w:val="24"/>
          <w:rFonts w:ascii="仿宋" w:hAnsi="仿宋" w:eastAsia="仿宋"/>
          <w:b w:val="0"/>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截止2018年12月，本项目实际支付资金46.5万元，预算执行率为17.80%。</w:t>
      </w:r>
      <w:r>
        <w:rPr>
          <w:rStyle w:val="24"/>
          <w:rFonts w:hint="eastAsia" w:ascii="仿宋" w:hAnsi="仿宋" w:eastAsia="仿宋"/>
          <w:b w:val="0"/>
          <w:spacing w:val="-4"/>
          <w:sz w:val="32"/>
          <w:szCs w:val="32"/>
        </w:rPr>
        <w:t>主要用于支付创业之星大赛奖金和举办费用。</w:t>
      </w:r>
    </w:p>
    <w:p>
      <w:p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从实际资金使用效果来看，2018年通过以上资金使用情况为在喀什营造创新创业氛围，挖掘好项目提供了资金保障。</w:t>
      </w:r>
    </w:p>
    <w:p>
      <w:p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总体上看，项目目标明确、资金到位率高、组织监管体系完善。该项目资金较好地实现了绩效目标。</w:t>
      </w:r>
    </w:p>
    <w:p>
      <w:pPr>
        <w:spacing w:line="540" w:lineRule="exact"/>
        <w:ind w:firstLine="567" w:firstLineChars="181"/>
        <w:rPr>
          <w:rStyle w:val="24"/>
          <w:rFonts w:ascii="楷体" w:hAnsi="楷体" w:eastAsia="楷体"/>
          <w:spacing w:val="-4"/>
          <w:sz w:val="32"/>
          <w:szCs w:val="32"/>
        </w:rPr>
      </w:pPr>
      <w:r>
        <w:rPr>
          <w:rStyle w:val="24"/>
          <w:rFonts w:hint="eastAsia" w:ascii="楷体" w:hAnsi="楷体" w:eastAsia="楷体"/>
          <w:spacing w:val="-4"/>
          <w:sz w:val="32"/>
          <w:szCs w:val="32"/>
        </w:rPr>
        <w:t>（三）项目资金管理情况分析</w:t>
      </w:r>
    </w:p>
    <w:p>
      <w:pPr>
        <w:spacing w:line="540" w:lineRule="exact"/>
        <w:ind w:firstLine="627" w:firstLineChars="200"/>
        <w:rPr>
          <w:rStyle w:val="24"/>
          <w:rFonts w:ascii="仿宋" w:hAnsi="仿宋" w:eastAsia="仿宋"/>
          <w:b w:val="0"/>
          <w:spacing w:val="-4"/>
          <w:sz w:val="32"/>
          <w:szCs w:val="32"/>
        </w:rPr>
      </w:pPr>
      <w:r>
        <w:rPr>
          <w:rStyle w:val="24"/>
          <w:rFonts w:hint="eastAsia" w:ascii="仿宋" w:hAnsi="仿宋" w:eastAsia="仿宋"/>
          <w:bCs w:val="0"/>
          <w:spacing w:val="-4"/>
          <w:sz w:val="32"/>
          <w:szCs w:val="32"/>
        </w:rPr>
        <w:t>管理制度：</w:t>
      </w:r>
      <w:r>
        <w:rPr>
          <w:rStyle w:val="24"/>
          <w:rFonts w:hint="eastAsia" w:ascii="仿宋" w:hAnsi="仿宋" w:eastAsia="仿宋"/>
          <w:b w:val="0"/>
          <w:spacing w:val="-4"/>
          <w:sz w:val="32"/>
          <w:szCs w:val="32"/>
        </w:rPr>
        <w:t>资金管理上坚持专项专用，并严格按照“创业之星大赛奖金管理办法”执行。</w:t>
      </w:r>
    </w:p>
    <w:p>
      <w:pPr>
        <w:spacing w:line="540" w:lineRule="exact"/>
        <w:ind w:firstLine="627" w:firstLineChars="200"/>
        <w:rPr>
          <w:rStyle w:val="24"/>
          <w:rFonts w:ascii="黑体" w:hAnsi="黑体" w:eastAsia="黑体"/>
          <w:b w:val="0"/>
          <w:spacing w:val="-4"/>
          <w:sz w:val="32"/>
          <w:szCs w:val="32"/>
        </w:rPr>
      </w:pPr>
      <w:r>
        <w:rPr>
          <w:rStyle w:val="24"/>
          <w:rFonts w:hint="eastAsia" w:ascii="楷体" w:hAnsi="楷体" w:eastAsia="楷体"/>
          <w:spacing w:val="-4"/>
          <w:sz w:val="32"/>
          <w:szCs w:val="32"/>
        </w:rPr>
        <w:t>工作办法：</w:t>
      </w:r>
      <w:r>
        <w:rPr>
          <w:rStyle w:val="24"/>
          <w:rFonts w:hint="eastAsia" w:ascii="仿宋" w:hAnsi="仿宋" w:eastAsia="仿宋"/>
          <w:b w:val="0"/>
          <w:spacing w:val="-4"/>
          <w:sz w:val="32"/>
          <w:szCs w:val="32"/>
        </w:rPr>
        <w:t>该专项资金支付范围、支付标准、支付进度、支付依据等合规合法，喀什特区深喀科技创新服务中心对该资金实行专账管理，该大赛具体承办交由新疆北斗企业管理有限公司负责，一切支出按预算和承办方提交的发票凭证来支付各承办方。奖金发放严格按照“创业之星大赛奖金管理办法”执行，资金使用安全有效。双创基地与获奖企业签订协议，在企业落户到双创基地后分三年以4:3:3的比例发放到其银行账户。</w:t>
      </w:r>
    </w:p>
    <w:p>
      <w:pPr>
        <w:spacing w:line="540" w:lineRule="exact"/>
        <w:ind w:firstLine="640"/>
        <w:rPr>
          <w:rStyle w:val="24"/>
          <w:rFonts w:ascii="黑体" w:hAnsi="黑体" w:eastAsia="黑体"/>
          <w:b w:val="0"/>
          <w:spacing w:val="-4"/>
          <w:sz w:val="32"/>
          <w:szCs w:val="32"/>
        </w:rPr>
      </w:pPr>
      <w:r>
        <w:rPr>
          <w:rStyle w:val="24"/>
          <w:rFonts w:hint="eastAsia" w:ascii="黑体" w:hAnsi="黑体" w:eastAsia="黑体"/>
          <w:b w:val="0"/>
          <w:spacing w:val="-4"/>
          <w:sz w:val="32"/>
          <w:szCs w:val="32"/>
        </w:rPr>
        <w:t>三、项目组织实施情况</w:t>
      </w:r>
    </w:p>
    <w:p>
      <w:pPr>
        <w:spacing w:line="540" w:lineRule="exact"/>
        <w:ind w:firstLine="567" w:firstLineChars="181"/>
        <w:rPr>
          <w:rStyle w:val="24"/>
          <w:rFonts w:ascii="楷体" w:hAnsi="楷体" w:eastAsia="楷体"/>
          <w:spacing w:val="-4"/>
          <w:sz w:val="32"/>
          <w:szCs w:val="32"/>
        </w:rPr>
      </w:pPr>
      <w:r>
        <w:rPr>
          <w:rStyle w:val="24"/>
          <w:rFonts w:hint="eastAsia" w:ascii="楷体" w:hAnsi="楷体" w:eastAsia="楷体"/>
          <w:spacing w:val="-4"/>
          <w:sz w:val="32"/>
          <w:szCs w:val="32"/>
        </w:rPr>
        <w:t>（一）项目组织情况分析</w:t>
      </w:r>
    </w:p>
    <w:p>
      <w:p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本项目用于支付第五届深喀“创业之星”大赛奖金及举办费用，由本部门直接支付，不涉及招投标行为；验收方式以服务提供单位开具相关发票为依据。</w:t>
      </w:r>
    </w:p>
    <w:p>
      <w:pPr>
        <w:spacing w:line="540" w:lineRule="exact"/>
        <w:ind w:firstLine="567" w:firstLineChars="181"/>
        <w:rPr>
          <w:rStyle w:val="24"/>
          <w:rFonts w:ascii="楷体" w:hAnsi="楷体" w:eastAsia="楷体"/>
          <w:spacing w:val="-4"/>
          <w:sz w:val="32"/>
          <w:szCs w:val="32"/>
        </w:rPr>
      </w:pPr>
      <w:r>
        <w:rPr>
          <w:rStyle w:val="24"/>
          <w:rFonts w:hint="eastAsia" w:ascii="楷体" w:hAnsi="楷体" w:eastAsia="楷体"/>
          <w:spacing w:val="-4"/>
          <w:sz w:val="32"/>
          <w:szCs w:val="32"/>
        </w:rPr>
        <w:t>（二）项目管理情况分析</w:t>
      </w:r>
    </w:p>
    <w:p>
      <w:p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准备阶段根据以往创业之星大赛的实施经验，不断量化、细化所需服务、对接相关媒体、广告、活动策划公司严格控制项目支出。</w:t>
      </w:r>
    </w:p>
    <w:p>
      <w:p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项目执行过程中不断完善项目进展过程中的流程，精确化所要实现的具体目标，保障项目实施过程中按照既定方向目标有力执行，事半功倍。</w:t>
      </w:r>
    </w:p>
    <w:p>
      <w:pPr>
        <w:spacing w:line="540" w:lineRule="exact"/>
        <w:ind w:firstLine="627" w:firstLineChars="200"/>
        <w:rPr>
          <w:rStyle w:val="24"/>
          <w:rFonts w:ascii="仿宋" w:hAnsi="仿宋" w:eastAsia="仿宋"/>
          <w:bCs w:val="0"/>
          <w:spacing w:val="-4"/>
          <w:sz w:val="32"/>
          <w:szCs w:val="32"/>
        </w:rPr>
      </w:pPr>
      <w:r>
        <w:rPr>
          <w:rStyle w:val="24"/>
          <w:rFonts w:hint="eastAsia" w:ascii="仿宋" w:hAnsi="仿宋" w:eastAsia="仿宋"/>
          <w:bCs w:val="0"/>
          <w:spacing w:val="-4"/>
          <w:sz w:val="32"/>
          <w:szCs w:val="32"/>
        </w:rPr>
        <w:t>日常检查监督管理：</w:t>
      </w:r>
    </w:p>
    <w:p>
      <w:pPr>
        <w:numPr>
          <w:ilvl w:val="0"/>
          <w:numId w:val="2"/>
        </w:num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严格监督项目实施过程，规范化实施流程，保障项目费用严格用于项目的开展；</w:t>
      </w:r>
    </w:p>
    <w:p>
      <w:pPr>
        <w:spacing w:line="540" w:lineRule="exact"/>
        <w:ind w:firstLine="640"/>
        <w:rPr>
          <w:rStyle w:val="24"/>
          <w:rFonts w:ascii="仿宋" w:hAnsi="仿宋" w:eastAsia="仿宋"/>
          <w:b w:val="0"/>
          <w:spacing w:val="-4"/>
          <w:sz w:val="32"/>
          <w:szCs w:val="32"/>
        </w:rPr>
      </w:pPr>
      <w:r>
        <w:rPr>
          <w:rStyle w:val="24"/>
          <w:rFonts w:hint="eastAsia" w:ascii="仿宋" w:hAnsi="仿宋" w:eastAsia="仿宋"/>
          <w:b w:val="0"/>
          <w:spacing w:val="-4"/>
          <w:sz w:val="32"/>
          <w:szCs w:val="32"/>
        </w:rPr>
        <w:t>2.该大赛具体承办交由新疆北斗企业管理有限公司负责，一切支出按预算和承办方提交的发票凭证来支付各承办方。</w:t>
      </w:r>
    </w:p>
    <w:p>
      <w:pPr>
        <w:spacing w:line="54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3.奖金发放严格按照“创业之星大赛奖金管理办法”执行，资金使用安全有效。双创基地与获奖企业签订协议，在企业落户到双创基地后分三年以4:3:3的比例发放到其银行账户。</w:t>
      </w:r>
    </w:p>
    <w:p>
      <w:pPr>
        <w:spacing w:line="540" w:lineRule="exact"/>
        <w:ind w:firstLine="640"/>
        <w:rPr>
          <w:rStyle w:val="24"/>
          <w:rFonts w:ascii="黑体" w:hAnsi="黑体" w:eastAsia="黑体"/>
        </w:rPr>
      </w:pPr>
      <w:r>
        <w:rPr>
          <w:rStyle w:val="24"/>
          <w:rFonts w:hint="eastAsia" w:ascii="黑体" w:hAnsi="黑体" w:eastAsia="黑体"/>
          <w:b w:val="0"/>
          <w:spacing w:val="-4"/>
          <w:sz w:val="32"/>
          <w:szCs w:val="32"/>
        </w:rPr>
        <w:t>四、项目绩效情况</w:t>
      </w:r>
      <w:r>
        <w:rPr>
          <w:rStyle w:val="24"/>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7</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13</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13</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经济性：合理控制奖金配置、举办费用等成本</w:t>
      </w:r>
      <w:r>
        <w:rPr>
          <w:rFonts w:hint="eastAsia" w:ascii="仿宋" w:hAnsi="仿宋" w:eastAsia="仿宋"/>
          <w:bCs/>
          <w:spacing w:val="-4"/>
          <w:sz w:val="32"/>
          <w:szCs w:val="32"/>
        </w:rPr>
        <w:t>。</w:t>
      </w:r>
    </w:p>
    <w:p>
      <w:pPr>
        <w:adjustRightInd w:val="0"/>
        <w:snapToGrid w:val="0"/>
        <w:spacing w:line="560" w:lineRule="exact"/>
        <w:ind w:firstLine="624" w:firstLineChars="200"/>
        <w:rPr>
          <w:rStyle w:val="24"/>
          <w:rFonts w:ascii="仿宋" w:hAnsi="仿宋" w:eastAsia="仿宋"/>
          <w:b w:val="0"/>
          <w:spacing w:val="-4"/>
          <w:sz w:val="32"/>
          <w:szCs w:val="32"/>
        </w:rPr>
      </w:pPr>
      <w:r>
        <w:rPr>
          <w:rStyle w:val="24"/>
          <w:rFonts w:hint="eastAsia" w:ascii="仿宋" w:hAnsi="仿宋" w:eastAsia="仿宋"/>
          <w:b w:val="0"/>
          <w:spacing w:val="-4"/>
          <w:sz w:val="32"/>
          <w:szCs w:val="32"/>
        </w:rPr>
        <w:t>效率性：</w:t>
      </w:r>
      <w:r>
        <w:rPr>
          <w:rFonts w:hint="eastAsia" w:ascii="仿宋" w:hAnsi="仿宋" w:eastAsia="仿宋"/>
          <w:bCs/>
          <w:spacing w:val="-4"/>
          <w:sz w:val="32"/>
          <w:szCs w:val="32"/>
        </w:rPr>
        <w:t>如期完成创业之星大赛</w:t>
      </w:r>
      <w:r>
        <w:rPr>
          <w:rStyle w:val="24"/>
          <w:rFonts w:hint="eastAsia" w:ascii="仿宋" w:hAnsi="仿宋" w:eastAsia="仿宋"/>
          <w:b w:val="0"/>
          <w:spacing w:val="-4"/>
          <w:sz w:val="32"/>
          <w:szCs w:val="32"/>
        </w:rPr>
        <w:t>。</w:t>
      </w:r>
    </w:p>
    <w:p>
      <w:pPr>
        <w:spacing w:line="540" w:lineRule="exact"/>
        <w:ind w:firstLine="564" w:firstLineChars="181"/>
        <w:rPr>
          <w:rStyle w:val="24"/>
          <w:rFonts w:ascii="仿宋" w:hAnsi="仿宋" w:eastAsia="仿宋"/>
          <w:b w:val="0"/>
          <w:spacing w:val="-4"/>
          <w:sz w:val="32"/>
          <w:szCs w:val="32"/>
        </w:rPr>
      </w:pPr>
      <w:r>
        <w:rPr>
          <w:rFonts w:hint="eastAsia" w:ascii="仿宋" w:hAnsi="仿宋" w:eastAsia="仿宋"/>
          <w:bCs/>
          <w:spacing w:val="-4"/>
          <w:sz w:val="32"/>
          <w:szCs w:val="32"/>
        </w:rPr>
        <w:t>效益性：倡导“大众创业，万众创新”，加强对创业者的支持和引导</w:t>
      </w:r>
      <w:r>
        <w:rPr>
          <w:rStyle w:val="24"/>
          <w:rFonts w:hint="eastAsia" w:ascii="仿宋" w:hAnsi="仿宋" w:eastAsia="仿宋"/>
          <w:b w:val="0"/>
          <w:spacing w:val="-4"/>
          <w:sz w:val="32"/>
          <w:szCs w:val="32"/>
        </w:rPr>
        <w:t>。提升经济开发区政府正面影响力</w:t>
      </w:r>
    </w:p>
    <w:p>
      <w:pPr>
        <w:spacing w:line="540" w:lineRule="exact"/>
        <w:ind w:firstLine="640"/>
        <w:rPr>
          <w:rStyle w:val="24"/>
          <w:rFonts w:ascii="黑体" w:hAnsi="黑体" w:eastAsia="黑体"/>
          <w:b w:val="0"/>
          <w:spacing w:val="-4"/>
          <w:sz w:val="32"/>
          <w:szCs w:val="32"/>
        </w:rPr>
      </w:pPr>
      <w:r>
        <w:rPr>
          <w:rStyle w:val="24"/>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24"/>
          <w:rFonts w:ascii="仿宋" w:hAnsi="仿宋" w:eastAsia="仿宋"/>
          <w:b w:val="0"/>
          <w:spacing w:val="-4"/>
          <w:sz w:val="32"/>
          <w:szCs w:val="32"/>
        </w:rPr>
      </w:pPr>
      <w:r>
        <w:rPr>
          <w:rStyle w:val="24"/>
          <w:rFonts w:hint="eastAsia" w:ascii="仿宋" w:hAnsi="仿宋" w:eastAsia="仿宋"/>
          <w:b w:val="0"/>
          <w:spacing w:val="-4"/>
          <w:sz w:val="32"/>
          <w:szCs w:val="32"/>
        </w:rPr>
        <w:t>1、增加该类型项目资金投入，提升项目开展质量，扩大项目开展实际效果及后续影响；</w:t>
      </w:r>
    </w:p>
    <w:p>
      <w:pPr>
        <w:spacing w:line="540" w:lineRule="exact"/>
        <w:ind w:firstLine="564" w:firstLineChars="181"/>
        <w:rPr>
          <w:rStyle w:val="24"/>
          <w:rFonts w:ascii="仿宋" w:hAnsi="仿宋" w:eastAsia="仿宋"/>
          <w:b w:val="0"/>
          <w:spacing w:val="-4"/>
          <w:sz w:val="32"/>
          <w:szCs w:val="32"/>
        </w:rPr>
      </w:pPr>
      <w:r>
        <w:rPr>
          <w:rStyle w:val="24"/>
          <w:rFonts w:hint="eastAsia" w:ascii="仿宋" w:hAnsi="仿宋" w:eastAsia="仿宋"/>
          <w:b w:val="0"/>
          <w:spacing w:val="-4"/>
          <w:sz w:val="32"/>
          <w:szCs w:val="32"/>
        </w:rPr>
        <w:t>2、加强对项目开展实施过程中的监督监管，严格把控项目实施流程与潜在风险，建立项目开展实施管理制度；</w:t>
      </w:r>
    </w:p>
    <w:p>
      <w:pPr>
        <w:spacing w:line="540" w:lineRule="exact"/>
        <w:ind w:firstLine="564" w:firstLineChars="181"/>
        <w:rPr>
          <w:rStyle w:val="24"/>
          <w:rFonts w:hint="eastAsia" w:ascii="仿宋" w:hAnsi="仿宋" w:eastAsia="仿宋"/>
          <w:b w:val="0"/>
          <w:spacing w:val="-4"/>
          <w:sz w:val="32"/>
          <w:szCs w:val="32"/>
        </w:rPr>
      </w:pPr>
      <w:r>
        <w:rPr>
          <w:rStyle w:val="24"/>
          <w:rFonts w:hint="eastAsia" w:ascii="仿宋" w:hAnsi="仿宋" w:eastAsia="仿宋"/>
          <w:b w:val="0"/>
          <w:spacing w:val="-4"/>
          <w:sz w:val="32"/>
          <w:szCs w:val="32"/>
        </w:rPr>
        <w:t>3、保证项目实施方案更加细化，任务更加精确，目标更加长远，高瞻远瞩，稳扎稳打，保证项目实际开展工作的可行性与长远性，保证长期利益。</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pPr>
      <w:r>
        <w:rPr>
          <w:rFonts w:hint="eastAsia" w:ascii="仿宋" w:hAnsi="仿宋" w:eastAsia="仿宋"/>
          <w:color w:val="auto"/>
          <w:spacing w:val="-4"/>
          <w:sz w:val="32"/>
          <w:szCs w:val="32"/>
        </w:rPr>
        <w:t>2018年本项目绩效目标全部达成，不存在未完成原因分析。</w:t>
      </w:r>
      <w:bookmarkStart w:id="3" w:name="_GoBack"/>
      <w:bookmarkEnd w:id="3"/>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firstLineChars="181"/>
        <w:rPr>
          <w:rFonts w:ascii="仿宋_GB2312" w:eastAsia="仿宋_GB2312"/>
          <w:spacing w:val="-4"/>
          <w:sz w:val="32"/>
          <w:szCs w:val="32"/>
        </w:rPr>
      </w:pPr>
      <w:r>
        <w:rPr>
          <w:rFonts w:hint="eastAsia" w:ascii="仿宋_GB2312" w:eastAsia="仿宋_GB2312"/>
          <w:b/>
          <w:bCs/>
          <w:spacing w:val="-4"/>
          <w:sz w:val="32"/>
          <w:szCs w:val="32"/>
        </w:rPr>
        <w:t xml:space="preserve">项目实施经验： </w:t>
      </w:r>
      <w:r>
        <w:rPr>
          <w:rFonts w:hint="eastAsia" w:ascii="仿宋_GB2312" w:eastAsia="仿宋_GB2312"/>
          <w:spacing w:val="-4"/>
          <w:sz w:val="32"/>
          <w:szCs w:val="32"/>
        </w:rPr>
        <w:t xml:space="preserve">   </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1、建立完善的项目开展报备、评估、审批制度；</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2、事先明确项目具体方案，制定项目预实现目标；</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3、保证项目完成后期工作的持续推动，关注项目后期影响；</w:t>
      </w:r>
    </w:p>
    <w:p>
      <w:pPr>
        <w:spacing w:line="540" w:lineRule="exact"/>
        <w:ind w:firstLine="624" w:firstLineChars="200"/>
        <w:rPr>
          <w:rFonts w:ascii="楷体" w:hAnsi="楷体" w:eastAsia="楷体"/>
          <w:b/>
          <w:spacing w:val="-4"/>
          <w:sz w:val="32"/>
          <w:szCs w:val="32"/>
        </w:rPr>
      </w:pPr>
      <w:r>
        <w:rPr>
          <w:rFonts w:hint="eastAsia" w:ascii="仿宋_GB2312" w:eastAsia="仿宋_GB2312"/>
          <w:spacing w:val="-4"/>
          <w:sz w:val="32"/>
          <w:szCs w:val="32"/>
        </w:rPr>
        <w:t xml:space="preserve">4、确保项目实施流程的可监督与公开透明。 </w:t>
      </w:r>
    </w:p>
    <w:p>
      <w:pPr>
        <w:spacing w:line="540" w:lineRule="exact"/>
        <w:ind w:firstLine="640"/>
        <w:rPr>
          <w:rStyle w:val="24"/>
          <w:rFonts w:ascii="黑体" w:hAnsi="黑体" w:eastAsia="黑体"/>
          <w:b w:val="0"/>
          <w:spacing w:val="-4"/>
          <w:sz w:val="32"/>
          <w:szCs w:val="32"/>
        </w:rPr>
      </w:pPr>
      <w:r>
        <w:rPr>
          <w:rStyle w:val="24"/>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以上数据来源于部门2018年度预算，每月支付费用时的支付凭证。</w:t>
      </w:r>
    </w:p>
    <w:p>
      <w:pPr>
        <w:spacing w:line="540" w:lineRule="exact"/>
        <w:ind w:firstLine="640"/>
        <w:rPr>
          <w:rStyle w:val="24"/>
          <w:rFonts w:ascii="黑体" w:hAnsi="黑体" w:eastAsia="黑体"/>
          <w:b w:val="0"/>
          <w:spacing w:val="-4"/>
          <w:sz w:val="32"/>
          <w:szCs w:val="32"/>
        </w:rPr>
      </w:pPr>
      <w:r>
        <w:rPr>
          <w:rStyle w:val="24"/>
          <w:rFonts w:hint="eastAsia" w:ascii="黑体" w:hAnsi="黑体" w:eastAsia="黑体"/>
          <w:b w:val="0"/>
          <w:spacing w:val="-4"/>
          <w:sz w:val="32"/>
          <w:szCs w:val="32"/>
        </w:rPr>
        <w:t>七、附表</w:t>
      </w:r>
    </w:p>
    <w:p>
      <w:pPr>
        <w:spacing w:line="540" w:lineRule="exact"/>
        <w:ind w:firstLine="567"/>
        <w:rPr>
          <w:rStyle w:val="24"/>
          <w:rFonts w:ascii="仿宋" w:hAnsi="仿宋" w:eastAsia="仿宋"/>
          <w:b w:val="0"/>
          <w:spacing w:val="-4"/>
          <w:sz w:val="32"/>
          <w:szCs w:val="32"/>
        </w:rPr>
      </w:pPr>
      <w:r>
        <w:rPr>
          <w:rStyle w:val="24"/>
          <w:rFonts w:hint="eastAsia" w:ascii="仿宋" w:hAnsi="仿宋" w:eastAsia="仿宋"/>
          <w:b w:val="0"/>
          <w:spacing w:val="-4"/>
          <w:sz w:val="32"/>
          <w:szCs w:val="32"/>
        </w:rPr>
        <w:t>《自治区财政项目支出绩效自评表》</w:t>
      </w:r>
    </w:p>
    <w:p>
      <w:pPr>
        <w:spacing w:line="540" w:lineRule="exact"/>
        <w:ind w:firstLine="567"/>
        <w:rPr>
          <w:rStyle w:val="24"/>
          <w:rFonts w:ascii="仿宋" w:hAnsi="仿宋" w:eastAsia="仿宋"/>
          <w:b w:val="0"/>
          <w:spacing w:val="-4"/>
          <w:sz w:val="32"/>
          <w:szCs w:val="32"/>
        </w:rPr>
      </w:pPr>
    </w:p>
    <w:p>
      <w:pPr>
        <w:spacing w:line="540" w:lineRule="exact"/>
        <w:ind w:firstLine="567"/>
        <w:rPr>
          <w:rStyle w:val="24"/>
          <w:rFonts w:ascii="仿宋" w:hAnsi="仿宋" w:eastAsia="仿宋"/>
          <w:b w:val="0"/>
          <w:spacing w:val="-4"/>
          <w:sz w:val="32"/>
          <w:szCs w:val="32"/>
        </w:rPr>
      </w:pPr>
    </w:p>
    <w:p>
      <w:pPr>
        <w:spacing w:line="540" w:lineRule="exact"/>
        <w:ind w:firstLine="567"/>
        <w:rPr>
          <w:rStyle w:val="24"/>
          <w:rFonts w:ascii="仿宋" w:hAnsi="仿宋" w:eastAsia="仿宋"/>
          <w:b w:val="0"/>
          <w:spacing w:val="-4"/>
          <w:sz w:val="32"/>
          <w:szCs w:val="32"/>
        </w:rPr>
      </w:pPr>
    </w:p>
    <w:p>
      <w:pPr>
        <w:spacing w:line="540" w:lineRule="exact"/>
        <w:rPr>
          <w:rStyle w:val="24"/>
          <w:rFonts w:hint="eastAsia"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2</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8F31B7"/>
    <w:multiLevelType w:val="singleLevel"/>
    <w:tmpl w:val="B58F31B7"/>
    <w:lvl w:ilvl="0" w:tentative="0">
      <w:start w:val="2"/>
      <w:numFmt w:val="chineseCounting"/>
      <w:suff w:val="nothing"/>
      <w:lvlText w:val="（%1）"/>
      <w:lvlJc w:val="left"/>
      <w:rPr>
        <w:rFonts w:hint="eastAsia"/>
      </w:rPr>
    </w:lvl>
  </w:abstractNum>
  <w:abstractNum w:abstractNumId="1">
    <w:nsid w:val="D3CC4957"/>
    <w:multiLevelType w:val="singleLevel"/>
    <w:tmpl w:val="D3CC495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7A6C"/>
    <w:rsid w:val="00033C16"/>
    <w:rsid w:val="00056465"/>
    <w:rsid w:val="00121AE4"/>
    <w:rsid w:val="00146AAD"/>
    <w:rsid w:val="001B3A40"/>
    <w:rsid w:val="00264D29"/>
    <w:rsid w:val="002D7E80"/>
    <w:rsid w:val="0032722C"/>
    <w:rsid w:val="0036514A"/>
    <w:rsid w:val="003E1E1A"/>
    <w:rsid w:val="003E7C39"/>
    <w:rsid w:val="004366A8"/>
    <w:rsid w:val="0046110E"/>
    <w:rsid w:val="004E2AED"/>
    <w:rsid w:val="00502BA7"/>
    <w:rsid w:val="005162F1"/>
    <w:rsid w:val="00535153"/>
    <w:rsid w:val="005516C2"/>
    <w:rsid w:val="00554F82"/>
    <w:rsid w:val="0056390D"/>
    <w:rsid w:val="005719B0"/>
    <w:rsid w:val="005D10D6"/>
    <w:rsid w:val="00607FEF"/>
    <w:rsid w:val="006F6FF9"/>
    <w:rsid w:val="00855E3A"/>
    <w:rsid w:val="00922CB9"/>
    <w:rsid w:val="00935EED"/>
    <w:rsid w:val="009E5CD9"/>
    <w:rsid w:val="00A023F0"/>
    <w:rsid w:val="00A10D43"/>
    <w:rsid w:val="00A26421"/>
    <w:rsid w:val="00A4293B"/>
    <w:rsid w:val="00A44E6B"/>
    <w:rsid w:val="00A67D50"/>
    <w:rsid w:val="00A8691A"/>
    <w:rsid w:val="00AC1946"/>
    <w:rsid w:val="00AC6366"/>
    <w:rsid w:val="00B40063"/>
    <w:rsid w:val="00B41F61"/>
    <w:rsid w:val="00B57657"/>
    <w:rsid w:val="00B86307"/>
    <w:rsid w:val="00BA46E6"/>
    <w:rsid w:val="00BD388F"/>
    <w:rsid w:val="00C56C72"/>
    <w:rsid w:val="00CA6457"/>
    <w:rsid w:val="00CB26F3"/>
    <w:rsid w:val="00CB2D53"/>
    <w:rsid w:val="00CC7E7B"/>
    <w:rsid w:val="00CE0C02"/>
    <w:rsid w:val="00D17F2E"/>
    <w:rsid w:val="00D30354"/>
    <w:rsid w:val="00DF42A0"/>
    <w:rsid w:val="00E034F0"/>
    <w:rsid w:val="00E42A85"/>
    <w:rsid w:val="00E769FE"/>
    <w:rsid w:val="00E92EF8"/>
    <w:rsid w:val="00EA2CBE"/>
    <w:rsid w:val="00EF16B7"/>
    <w:rsid w:val="00F32FEE"/>
    <w:rsid w:val="00FB10BB"/>
    <w:rsid w:val="00FF26DB"/>
    <w:rsid w:val="14086F83"/>
    <w:rsid w:val="18533CA2"/>
    <w:rsid w:val="224358F2"/>
    <w:rsid w:val="23436968"/>
    <w:rsid w:val="2F1A6635"/>
    <w:rsid w:val="33BD1D07"/>
    <w:rsid w:val="3AB6262A"/>
    <w:rsid w:val="4C333190"/>
    <w:rsid w:val="5B626200"/>
    <w:rsid w:val="6C796BF4"/>
    <w:rsid w:val="6D7C2DAE"/>
    <w:rsid w:val="73F07623"/>
    <w:rsid w:val="7E6D7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7">
    <w:name w:val="heading 2"/>
    <w:basedOn w:val="1"/>
    <w:next w:val="1"/>
    <w:link w:val="28"/>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8">
    <w:name w:val="heading 3"/>
    <w:basedOn w:val="1"/>
    <w:next w:val="1"/>
    <w:link w:val="29"/>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9">
    <w:name w:val="heading 4"/>
    <w:basedOn w:val="1"/>
    <w:next w:val="1"/>
    <w:link w:val="30"/>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0">
    <w:name w:val="heading 5"/>
    <w:basedOn w:val="1"/>
    <w:next w:val="1"/>
    <w:link w:val="31"/>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1">
    <w:name w:val="heading 6"/>
    <w:basedOn w:val="1"/>
    <w:next w:val="1"/>
    <w:link w:val="32"/>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2">
    <w:name w:val="heading 7"/>
    <w:basedOn w:val="1"/>
    <w:next w:val="1"/>
    <w:link w:val="33"/>
    <w:unhideWhenUsed/>
    <w:qFormat/>
    <w:uiPriority w:val="9"/>
    <w:pPr>
      <w:widowControl/>
      <w:spacing w:before="240" w:after="60"/>
      <w:jc w:val="left"/>
      <w:outlineLvl w:val="6"/>
    </w:pPr>
    <w:rPr>
      <w:rFonts w:asciiTheme="minorHAnsi" w:hAnsiTheme="minorHAnsi" w:eastAsiaTheme="minorEastAsia"/>
      <w:kern w:val="0"/>
      <w:sz w:val="24"/>
    </w:rPr>
  </w:style>
  <w:style w:type="paragraph" w:styleId="13">
    <w:name w:val="heading 8"/>
    <w:basedOn w:val="1"/>
    <w:next w:val="1"/>
    <w:link w:val="34"/>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4">
    <w:name w:val="heading 9"/>
    <w:basedOn w:val="1"/>
    <w:next w:val="1"/>
    <w:link w:val="35"/>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uiPriority w:val="1"/>
  </w:style>
  <w:style w:type="table" w:default="1" w:styleId="22">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First Indent"/>
    <w:basedOn w:val="5"/>
    <w:qFormat/>
    <w:uiPriority w:val="0"/>
  </w:style>
  <w:style w:type="paragraph" w:styleId="5">
    <w:name w:val="Body Text"/>
    <w:basedOn w:val="1"/>
    <w:qFormat/>
    <w:uiPriority w:val="0"/>
  </w:style>
  <w:style w:type="paragraph" w:styleId="15">
    <w:name w:val="annotation text"/>
    <w:basedOn w:val="1"/>
    <w:link w:val="53"/>
    <w:semiHidden/>
    <w:unhideWhenUsed/>
    <w:qFormat/>
    <w:uiPriority w:val="99"/>
    <w:pPr>
      <w:jc w:val="left"/>
    </w:pPr>
  </w:style>
  <w:style w:type="paragraph" w:styleId="16">
    <w:name w:val="Balloon Text"/>
    <w:basedOn w:val="1"/>
    <w:link w:val="52"/>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annotation subject"/>
    <w:basedOn w:val="15"/>
    <w:next w:val="15"/>
    <w:link w:val="54"/>
    <w:semiHidden/>
    <w:unhideWhenUsed/>
    <w:qFormat/>
    <w:uiPriority w:val="99"/>
    <w:rPr>
      <w:b/>
      <w:bCs/>
    </w:r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styleId="26">
    <w:name w:val="annotation reference"/>
    <w:basedOn w:val="23"/>
    <w:semiHidden/>
    <w:unhideWhenUsed/>
    <w:qFormat/>
    <w:uiPriority w:val="99"/>
    <w:rPr>
      <w:sz w:val="21"/>
      <w:szCs w:val="21"/>
    </w:rPr>
  </w:style>
  <w:style w:type="character" w:customStyle="1" w:styleId="27">
    <w:name w:val="标题 1 字符"/>
    <w:basedOn w:val="23"/>
    <w:link w:val="6"/>
    <w:qFormat/>
    <w:uiPriority w:val="9"/>
    <w:rPr>
      <w:rFonts w:asciiTheme="majorHAnsi" w:hAnsiTheme="majorHAnsi" w:eastAsiaTheme="majorEastAsia"/>
      <w:b/>
      <w:bCs/>
      <w:kern w:val="32"/>
      <w:sz w:val="32"/>
      <w:szCs w:val="32"/>
    </w:rPr>
  </w:style>
  <w:style w:type="character" w:customStyle="1" w:styleId="28">
    <w:name w:val="标题 2 字符"/>
    <w:basedOn w:val="23"/>
    <w:link w:val="7"/>
    <w:semiHidden/>
    <w:qFormat/>
    <w:uiPriority w:val="9"/>
    <w:rPr>
      <w:rFonts w:asciiTheme="majorHAnsi" w:hAnsiTheme="majorHAnsi" w:eastAsiaTheme="majorEastAsia"/>
      <w:b/>
      <w:bCs/>
      <w:i/>
      <w:iCs/>
      <w:sz w:val="28"/>
      <w:szCs w:val="28"/>
    </w:rPr>
  </w:style>
  <w:style w:type="character" w:customStyle="1" w:styleId="29">
    <w:name w:val="标题 3 字符"/>
    <w:basedOn w:val="23"/>
    <w:link w:val="8"/>
    <w:semiHidden/>
    <w:qFormat/>
    <w:uiPriority w:val="9"/>
    <w:rPr>
      <w:rFonts w:asciiTheme="majorHAnsi" w:hAnsiTheme="majorHAnsi" w:eastAsiaTheme="majorEastAsia"/>
      <w:b/>
      <w:bCs/>
      <w:sz w:val="26"/>
      <w:szCs w:val="26"/>
    </w:rPr>
  </w:style>
  <w:style w:type="character" w:customStyle="1" w:styleId="30">
    <w:name w:val="标题 4 字符"/>
    <w:basedOn w:val="23"/>
    <w:link w:val="9"/>
    <w:semiHidden/>
    <w:qFormat/>
    <w:uiPriority w:val="9"/>
    <w:rPr>
      <w:b/>
      <w:bCs/>
      <w:sz w:val="28"/>
      <w:szCs w:val="28"/>
    </w:rPr>
  </w:style>
  <w:style w:type="character" w:customStyle="1" w:styleId="31">
    <w:name w:val="标题 5 字符"/>
    <w:basedOn w:val="23"/>
    <w:link w:val="10"/>
    <w:semiHidden/>
    <w:qFormat/>
    <w:uiPriority w:val="9"/>
    <w:rPr>
      <w:b/>
      <w:bCs/>
      <w:i/>
      <w:iCs/>
      <w:sz w:val="26"/>
      <w:szCs w:val="26"/>
    </w:rPr>
  </w:style>
  <w:style w:type="character" w:customStyle="1" w:styleId="32">
    <w:name w:val="标题 6 字符"/>
    <w:basedOn w:val="23"/>
    <w:link w:val="11"/>
    <w:semiHidden/>
    <w:qFormat/>
    <w:uiPriority w:val="9"/>
    <w:rPr>
      <w:b/>
      <w:bCs/>
    </w:rPr>
  </w:style>
  <w:style w:type="character" w:customStyle="1" w:styleId="33">
    <w:name w:val="标题 7 字符"/>
    <w:basedOn w:val="23"/>
    <w:link w:val="12"/>
    <w:semiHidden/>
    <w:qFormat/>
    <w:uiPriority w:val="9"/>
    <w:rPr>
      <w:sz w:val="24"/>
      <w:szCs w:val="24"/>
    </w:rPr>
  </w:style>
  <w:style w:type="character" w:customStyle="1" w:styleId="34">
    <w:name w:val="标题 8 字符"/>
    <w:basedOn w:val="23"/>
    <w:link w:val="13"/>
    <w:semiHidden/>
    <w:qFormat/>
    <w:uiPriority w:val="9"/>
    <w:rPr>
      <w:i/>
      <w:iCs/>
      <w:sz w:val="24"/>
      <w:szCs w:val="24"/>
    </w:rPr>
  </w:style>
  <w:style w:type="character" w:customStyle="1" w:styleId="35">
    <w:name w:val="标题 9 字符"/>
    <w:basedOn w:val="23"/>
    <w:link w:val="14"/>
    <w:semiHidden/>
    <w:qFormat/>
    <w:uiPriority w:val="9"/>
    <w:rPr>
      <w:rFonts w:asciiTheme="majorHAnsi" w:hAnsiTheme="majorHAnsi" w:eastAsiaTheme="majorEastAsia"/>
    </w:rPr>
  </w:style>
  <w:style w:type="character" w:customStyle="1" w:styleId="36">
    <w:name w:val="标题 字符"/>
    <w:basedOn w:val="23"/>
    <w:link w:val="20"/>
    <w:qFormat/>
    <w:uiPriority w:val="10"/>
    <w:rPr>
      <w:rFonts w:asciiTheme="majorHAnsi" w:hAnsiTheme="majorHAnsi" w:eastAsiaTheme="majorEastAsia"/>
      <w:b/>
      <w:bCs/>
      <w:kern w:val="28"/>
      <w:sz w:val="32"/>
      <w:szCs w:val="32"/>
    </w:rPr>
  </w:style>
  <w:style w:type="character" w:customStyle="1" w:styleId="37">
    <w:name w:val="副标题 字符"/>
    <w:basedOn w:val="23"/>
    <w:link w:val="19"/>
    <w:qFormat/>
    <w:uiPriority w:val="11"/>
    <w:rPr>
      <w:rFonts w:asciiTheme="majorHAnsi" w:hAnsiTheme="majorHAnsi" w:eastAsiaTheme="majorEastAsia"/>
      <w:sz w:val="24"/>
      <w:szCs w:val="24"/>
    </w:rPr>
  </w:style>
  <w:style w:type="paragraph" w:customStyle="1" w:styleId="38">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9">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40">
    <w:name w:val="引用1"/>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Char"/>
    <w:basedOn w:val="23"/>
    <w:link w:val="40"/>
    <w:qFormat/>
    <w:uiPriority w:val="29"/>
    <w:rPr>
      <w:i/>
      <w:sz w:val="24"/>
      <w:szCs w:val="24"/>
    </w:rPr>
  </w:style>
  <w:style w:type="paragraph" w:customStyle="1" w:styleId="42">
    <w:name w:val="明显引用1"/>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Char"/>
    <w:basedOn w:val="23"/>
    <w:link w:val="42"/>
    <w:qFormat/>
    <w:uiPriority w:val="30"/>
    <w:rPr>
      <w:b/>
      <w:i/>
      <w:sz w:val="24"/>
    </w:rPr>
  </w:style>
  <w:style w:type="character" w:customStyle="1" w:styleId="44">
    <w:name w:val="不明显强调1"/>
    <w:qFormat/>
    <w:uiPriority w:val="19"/>
    <w:rPr>
      <w:i/>
      <w:color w:val="585858" w:themeColor="text1" w:themeTint="A6"/>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6"/>
    <w:next w:val="1"/>
    <w:unhideWhenUsed/>
    <w:qFormat/>
    <w:uiPriority w:val="39"/>
    <w:pPr>
      <w:outlineLvl w:val="9"/>
    </w:pPr>
    <w:rPr>
      <w:lang w:eastAsia="en-US" w:bidi="en-US"/>
    </w:rPr>
  </w:style>
  <w:style w:type="character" w:customStyle="1" w:styleId="50">
    <w:name w:val="页眉 字符"/>
    <w:basedOn w:val="23"/>
    <w:link w:val="18"/>
    <w:qFormat/>
    <w:uiPriority w:val="99"/>
    <w:rPr>
      <w:rFonts w:ascii="Calibri" w:hAnsi="Calibri" w:eastAsia="宋体"/>
      <w:kern w:val="2"/>
      <w:sz w:val="18"/>
      <w:szCs w:val="18"/>
    </w:rPr>
  </w:style>
  <w:style w:type="character" w:customStyle="1" w:styleId="51">
    <w:name w:val="页脚 字符"/>
    <w:basedOn w:val="23"/>
    <w:link w:val="17"/>
    <w:qFormat/>
    <w:uiPriority w:val="99"/>
    <w:rPr>
      <w:rFonts w:ascii="Calibri" w:hAnsi="Calibri" w:eastAsia="宋体"/>
      <w:kern w:val="2"/>
      <w:sz w:val="18"/>
      <w:szCs w:val="18"/>
    </w:rPr>
  </w:style>
  <w:style w:type="character" w:customStyle="1" w:styleId="52">
    <w:name w:val="批注框文本 字符"/>
    <w:basedOn w:val="23"/>
    <w:link w:val="16"/>
    <w:semiHidden/>
    <w:qFormat/>
    <w:uiPriority w:val="99"/>
    <w:rPr>
      <w:rFonts w:ascii="Times New Roman" w:hAnsi="Times New Roman" w:eastAsia="宋体"/>
      <w:kern w:val="2"/>
      <w:sz w:val="18"/>
      <w:szCs w:val="18"/>
    </w:rPr>
  </w:style>
  <w:style w:type="character" w:customStyle="1" w:styleId="53">
    <w:name w:val="批注文字 字符"/>
    <w:basedOn w:val="23"/>
    <w:link w:val="15"/>
    <w:semiHidden/>
    <w:qFormat/>
    <w:uiPriority w:val="99"/>
    <w:rPr>
      <w:kern w:val="2"/>
      <w:sz w:val="21"/>
      <w:szCs w:val="24"/>
    </w:rPr>
  </w:style>
  <w:style w:type="character" w:customStyle="1" w:styleId="54">
    <w:name w:val="批注主题 字符"/>
    <w:basedOn w:val="53"/>
    <w:link w:val="21"/>
    <w:semiHidden/>
    <w:qFormat/>
    <w:uiPriority w:val="99"/>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F3C07-8EF5-49BB-9F01-54CC71F76FEF}">
  <ds:schemaRefs/>
</ds:datastoreItem>
</file>

<file path=docProps/app.xml><?xml version="1.0" encoding="utf-8"?>
<Properties xmlns="http://schemas.openxmlformats.org/officeDocument/2006/extended-properties" xmlns:vt="http://schemas.openxmlformats.org/officeDocument/2006/docPropsVTypes">
  <Template>Normal</Template>
  <Pages>5</Pages>
  <Words>320</Words>
  <Characters>1830</Characters>
  <Lines>15</Lines>
  <Paragraphs>4</Paragraphs>
  <TotalTime>0</TotalTime>
  <ScaleCrop>false</ScaleCrop>
  <LinksUpToDate>false</LinksUpToDate>
  <CharactersWithSpaces>2146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2019-03-17T04:59:00Z</dcterms:created>
  <dc:creator>赵 恺（预算处）</dc:creator>
  <cp:lastModifiedBy>angelia</cp:lastModifiedBy>
  <cp:lastPrinted>2018-12-31T10:56:00Z</cp:lastPrinted>
  <dcterms:modified xsi:type="dcterms:W3CDTF">2019-10-20T17:19:13Z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