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黑体" w:hAnsi="黑体" w:eastAsia="黑体"/>
          <w:sz w:val="32"/>
          <w:szCs w:val="32"/>
        </w:rPr>
      </w:pPr>
      <w:bookmarkStart w:id="92" w:name="_GoBack"/>
      <w:bookmarkEnd w:id="92"/>
      <w:r>
        <w:rPr>
          <w:rFonts w:hint="eastAsia" w:ascii="黑体" w:hAnsi="黑体" w:eastAsia="黑体"/>
          <w:sz w:val="32"/>
          <w:szCs w:val="32"/>
        </w:rPr>
        <w:t xml:space="preserve">附件1： </w:t>
      </w:r>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2018年度新疆喀什驻外商贸联络处部门决算</w:t>
      </w: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  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 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 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4"/>
      <w:bookmarkStart w:id="1" w:name="OLE_LINK95"/>
      <w:r>
        <w:rPr>
          <w:rFonts w:hint="eastAsia" w:ascii="仿宋_GB2312" w:eastAsia="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sz w:val="32"/>
          <w:szCs w:val="32"/>
        </w:rPr>
        <w:t>（二）预算绩效情况的说明</w:t>
      </w:r>
      <w:bookmarkEnd w:id="2"/>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 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 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 部门单位概况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00" w:lineRule="exact"/>
        <w:rPr>
          <w:rFonts w:ascii="黑体" w:hAnsi="黑体" w:eastAsia="黑体" w:cs="宋体"/>
          <w:bCs/>
          <w:kern w:val="0"/>
          <w:sz w:val="32"/>
          <w:szCs w:val="32"/>
        </w:rPr>
      </w:pPr>
      <w:r>
        <w:rPr>
          <w:rFonts w:hint="eastAsia" w:ascii="仿宋_GB2312" w:eastAsia="仿宋_GB2312"/>
          <w:sz w:val="32"/>
          <w:szCs w:val="32"/>
        </w:rPr>
        <w:t xml:space="preserve">    加强与驻在国政府部门、商会、行业协会、华人华侨商会等联络。 </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_GB2312" w:hAnsi="宋体" w:eastAsia="仿宋_GB2312" w:cs="宋体"/>
          <w:kern w:val="0"/>
          <w:sz w:val="32"/>
          <w:szCs w:val="32"/>
        </w:rPr>
      </w:pPr>
      <w:bookmarkStart w:id="3" w:name="OLE_LINK51"/>
      <w:r>
        <w:rPr>
          <w:rFonts w:hint="eastAsia" w:ascii="仿宋_GB2312" w:eastAsia="仿宋_GB2312"/>
          <w:sz w:val="32"/>
          <w:szCs w:val="32"/>
        </w:rPr>
        <w:t>从决算单位构成看，</w:t>
      </w:r>
      <w:r>
        <w:rPr>
          <w:rFonts w:ascii="仿宋_GB2312" w:eastAsia="仿宋_GB2312"/>
          <w:sz w:val="32"/>
          <w:szCs w:val="32"/>
        </w:rPr>
        <w:t>新疆喀什驻外商贸联络处</w:t>
      </w:r>
      <w:r>
        <w:rPr>
          <w:rFonts w:hint="eastAsia" w:ascii="仿宋_GB2312" w:eastAsia="仿宋_GB2312"/>
          <w:sz w:val="32"/>
          <w:szCs w:val="32"/>
        </w:rPr>
        <w:t>部门决算包括：</w:t>
      </w:r>
      <w:r>
        <w:rPr>
          <w:rFonts w:ascii="仿宋_GB2312" w:eastAsia="仿宋_GB2312"/>
          <w:sz w:val="32"/>
          <w:szCs w:val="32"/>
        </w:rPr>
        <w:t>新疆喀什驻外商贸联络处</w:t>
      </w:r>
      <w:r>
        <w:rPr>
          <w:rFonts w:hint="eastAsia" w:ascii="仿宋_GB2312" w:eastAsia="仿宋_GB2312"/>
          <w:sz w:val="32"/>
          <w:szCs w:val="32"/>
        </w:rPr>
        <w:t>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w:t>
      </w:r>
      <w:r>
        <w:rPr>
          <w:rFonts w:ascii="仿宋_GB2312" w:eastAsia="仿宋_GB2312"/>
          <w:sz w:val="32"/>
          <w:szCs w:val="32"/>
        </w:rPr>
        <w:t>新疆喀什驻外商贸联络处</w:t>
      </w:r>
      <w:r>
        <w:rPr>
          <w:rFonts w:hint="eastAsia" w:ascii="仿宋_GB2312" w:eastAsia="仿宋_GB2312"/>
          <w:sz w:val="32"/>
          <w:szCs w:val="32"/>
        </w:rPr>
        <w:t>2018年部门决算编制范围的单位名单见下表</w:t>
      </w:r>
      <w:r>
        <w:rPr>
          <w:rFonts w:hint="eastAsia" w:ascii="仿宋_GB2312" w:eastAsia="仿宋_GB2312"/>
          <w:spacing w:val="-6"/>
          <w:sz w:val="32"/>
          <w:szCs w:val="32"/>
        </w:rPr>
        <w:t>：</w:t>
      </w:r>
      <w:bookmarkEnd w:id="3"/>
    </w:p>
    <w:p>
      <w:pPr>
        <w:spacing w:line="540" w:lineRule="exact"/>
        <w:ind w:firstLine="616" w:firstLineChars="200"/>
        <w:rPr>
          <w:rFonts w:ascii="仿宋_GB2312" w:eastAsia="仿宋_GB2312"/>
          <w:spacing w:val="-6"/>
          <w:sz w:val="32"/>
          <w:szCs w:val="32"/>
        </w:rPr>
      </w:pPr>
    </w:p>
    <w:p>
      <w:pPr>
        <w:spacing w:line="540" w:lineRule="exact"/>
        <w:ind w:firstLine="616" w:firstLineChars="200"/>
        <w:rPr>
          <w:rFonts w:ascii="仿宋_GB2312" w:eastAsia="仿宋_GB2312"/>
          <w:spacing w:val="-6"/>
          <w:sz w:val="32"/>
          <w:szCs w:val="32"/>
        </w:rPr>
      </w:pPr>
    </w:p>
    <w:tbl>
      <w:tblPr>
        <w:tblStyle w:val="7"/>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3056"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序号</w:t>
            </w:r>
          </w:p>
        </w:tc>
        <w:tc>
          <w:tcPr>
            <w:tcW w:w="3870"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单位名称</w:t>
            </w:r>
          </w:p>
        </w:tc>
        <w:tc>
          <w:tcPr>
            <w:tcW w:w="2538" w:type="dxa"/>
            <w:vAlign w:val="center"/>
          </w:tcPr>
          <w:p>
            <w:pPr>
              <w:spacing w:line="500" w:lineRule="exact"/>
              <w:ind w:firstLine="1280" w:firstLineChars="400"/>
              <w:rPr>
                <w:rFonts w:ascii="仿宋_GB2312" w:eastAsia="仿宋_GB2312"/>
                <w:color w:val="000000" w:themeColor="text1"/>
                <w:sz w:val="32"/>
                <w:szCs w:val="32"/>
                <w:highlight w:val="yellow"/>
              </w:rPr>
            </w:pPr>
            <w:r>
              <w:rPr>
                <w:rFonts w:hint="eastAsia" w:ascii="仿宋_GB2312" w:eastAsia="仿宋_GB2312"/>
                <w:color w:val="000000" w:themeColor="text1"/>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6" w:type="dxa"/>
          </w:tcPr>
          <w:p>
            <w:pPr>
              <w:spacing w:line="500" w:lineRule="exact"/>
              <w:ind w:firstLine="640" w:firstLineChars="200"/>
              <w:jc w:val="left"/>
            </w:pPr>
            <w:r>
              <w:rPr>
                <w:rFonts w:eastAsia="Times New Roman"/>
                <w:color w:val="000000"/>
                <w:position w:val="-1"/>
                <w:sz w:val="32"/>
              </w:rPr>
              <w:t>1</w:t>
            </w:r>
          </w:p>
        </w:tc>
        <w:tc>
          <w:tcPr>
            <w:tcW w:w="3870" w:type="dxa"/>
          </w:tcPr>
          <w:p>
            <w:pPr>
              <w:spacing w:line="500" w:lineRule="exact"/>
              <w:ind w:firstLine="640" w:firstLineChars="200"/>
              <w:jc w:val="left"/>
            </w:pPr>
            <w:r>
              <w:rPr>
                <w:rFonts w:eastAsia="Times New Roman"/>
                <w:color w:val="000000"/>
                <w:position w:val="-1"/>
                <w:sz w:val="32"/>
              </w:rPr>
              <w:t>新疆喀什驻外商贸联络处</w:t>
            </w:r>
          </w:p>
        </w:tc>
        <w:tc>
          <w:tcPr>
            <w:tcW w:w="2538" w:type="dxa"/>
            <w:vAlign w:val="center"/>
          </w:tcPr>
          <w:p>
            <w:pPr>
              <w:spacing w:line="500" w:lineRule="exact"/>
              <w:ind w:firstLine="420" w:firstLineChars="200"/>
              <w:jc w:val="left"/>
            </w:pPr>
          </w:p>
        </w:tc>
      </w:tr>
    </w:tbl>
    <w:p>
      <w:pPr>
        <w:spacing w:line="500" w:lineRule="exact"/>
        <w:rPr>
          <w:rFonts w:ascii="仿宋_GB2312" w:hAnsi="宋体" w:eastAsia="仿宋_GB2312" w:cs="宋体"/>
          <w:kern w:val="0"/>
          <w:sz w:val="32"/>
          <w:szCs w:val="32"/>
        </w:rPr>
      </w:pPr>
    </w:p>
    <w:p>
      <w:pPr>
        <w:spacing w:line="500" w:lineRule="exact"/>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 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spacing w:line="540" w:lineRule="exact"/>
        <w:ind w:firstLine="640" w:firstLineChars="200"/>
        <w:rPr>
          <w:rFonts w:ascii="仿宋_GB2312" w:hAnsi="Calibri" w:eastAsia="仿宋_GB2312"/>
          <w:color w:val="000000" w:themeColor="text1"/>
          <w:sz w:val="32"/>
          <w:szCs w:val="32"/>
          <w:lang w:val="en-GB"/>
        </w:rPr>
      </w:pPr>
      <w:bookmarkStart w:id="4" w:name="OLE_LINK100"/>
      <w:bookmarkStart w:id="5" w:name="OLE_LINK99"/>
      <w:bookmarkStart w:id="6" w:name="OLE_LINK52"/>
      <w:r>
        <w:rPr>
          <w:rFonts w:hint="eastAsia" w:ascii="仿宋_GB2312" w:eastAsia="仿宋_GB2312"/>
          <w:color w:val="000000" w:themeColor="text1"/>
          <w:sz w:val="32"/>
          <w:szCs w:val="32"/>
        </w:rPr>
        <w:t>2018年度收入</w:t>
      </w:r>
      <w:r>
        <w:rPr>
          <w:rFonts w:hint="eastAsia" w:ascii="仿宋_GB2312" w:eastAsia="仿宋_GB2312"/>
          <w:sz w:val="32"/>
          <w:szCs w:val="32"/>
        </w:rPr>
        <w:t>83.16</w:t>
      </w:r>
      <w:r>
        <w:rPr>
          <w:rFonts w:hint="eastAsia" w:ascii="仿宋_GB2312" w:eastAsia="仿宋_GB2312"/>
          <w:color w:val="000000" w:themeColor="text1"/>
          <w:sz w:val="32"/>
          <w:szCs w:val="32"/>
        </w:rPr>
        <w:t>万元</w:t>
      </w:r>
      <w:bookmarkEnd w:id="4"/>
      <w:bookmarkEnd w:id="5"/>
      <w:r>
        <w:rPr>
          <w:rFonts w:hint="eastAsia" w:ascii="仿宋_GB2312" w:eastAsia="仿宋_GB2312"/>
          <w:sz w:val="32"/>
          <w:szCs w:val="32"/>
        </w:rPr>
        <w:t>，与上年相比增加0万元，增长0%，主要原因是：</w:t>
      </w:r>
      <w:r>
        <w:rPr>
          <w:rFonts w:hint="eastAsia" w:ascii="仿宋_GB2312" w:eastAsia="仿宋_GB2312"/>
          <w:color w:val="000000" w:themeColor="text1"/>
          <w:sz w:val="32"/>
          <w:szCs w:val="32"/>
        </w:rPr>
        <w:t>新增单位，无上年对比数据；</w:t>
      </w:r>
      <w:bookmarkEnd w:id="6"/>
      <w:bookmarkStart w:id="7" w:name="OLE_LINK53"/>
      <w:r>
        <w:rPr>
          <w:rFonts w:hint="eastAsia" w:ascii="仿宋_GB2312" w:eastAsia="仿宋_GB2312"/>
          <w:color w:val="000000" w:themeColor="text1"/>
          <w:sz w:val="32"/>
          <w:szCs w:val="32"/>
        </w:rPr>
        <w:t>支出</w:t>
      </w:r>
      <w:r>
        <w:rPr>
          <w:rFonts w:hint="eastAsia" w:ascii="仿宋_GB2312" w:eastAsia="仿宋_GB2312"/>
          <w:sz w:val="32"/>
          <w:szCs w:val="32"/>
        </w:rPr>
        <w:t>83.16</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，与上年相比增加0万元，增长0%，主要原因是：</w:t>
      </w:r>
      <w:r>
        <w:rPr>
          <w:rFonts w:hint="eastAsia" w:ascii="仿宋_GB2312" w:eastAsia="仿宋_GB2312"/>
          <w:color w:val="000000" w:themeColor="text1"/>
          <w:sz w:val="32"/>
          <w:szCs w:val="32"/>
        </w:rPr>
        <w:t>新增单位，无上年对比数据；</w:t>
      </w:r>
      <w:bookmarkEnd w:id="7"/>
      <w:bookmarkStart w:id="8" w:name="OLE_LINK54"/>
      <w:r>
        <w:rPr>
          <w:rFonts w:hint="eastAsia" w:ascii="仿宋_GB2312" w:eastAsia="仿宋_GB2312"/>
          <w:color w:val="000000" w:themeColor="text1"/>
          <w:sz w:val="32"/>
          <w:szCs w:val="32"/>
        </w:rPr>
        <w:t>结余</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，与上年相比增加0万元，增长0%，主要原因是：</w:t>
      </w:r>
      <w:r>
        <w:rPr>
          <w:rFonts w:ascii="仿宋_GB2312" w:eastAsia="仿宋_GB2312"/>
          <w:color w:val="000000" w:themeColor="text1"/>
          <w:sz w:val="32"/>
          <w:szCs w:val="32"/>
        </w:rPr>
        <w:t>无变化。</w:t>
      </w:r>
      <w:bookmarkEnd w:id="8"/>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（二）部门收入总体情况说明</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本年收入合计</w:t>
      </w:r>
      <w:r>
        <w:rPr>
          <w:rFonts w:hint="eastAsia" w:ascii="仿宋_GB2312" w:eastAsia="仿宋_GB2312"/>
          <w:sz w:val="32"/>
          <w:szCs w:val="32"/>
        </w:rPr>
        <w:t>83.16</w:t>
      </w:r>
      <w:r>
        <w:rPr>
          <w:rFonts w:hint="eastAsia" w:ascii="仿宋_GB2312" w:eastAsia="仿宋_GB2312"/>
          <w:color w:val="000000" w:themeColor="text1"/>
          <w:sz w:val="32"/>
          <w:szCs w:val="32"/>
        </w:rPr>
        <w:t>万元，其中：</w:t>
      </w:r>
      <w:bookmarkStart w:id="9" w:name="OLE_LINK1"/>
      <w:r>
        <w:rPr>
          <w:rFonts w:hint="eastAsia" w:ascii="仿宋_GB2312" w:eastAsia="仿宋_GB2312"/>
          <w:color w:val="000000" w:themeColor="text1"/>
          <w:sz w:val="32"/>
          <w:szCs w:val="32"/>
        </w:rPr>
        <w:t>财政拨款收入</w:t>
      </w:r>
      <w:bookmarkEnd w:id="9"/>
      <w:r>
        <w:rPr>
          <w:rFonts w:hint="eastAsia" w:ascii="仿宋_GB2312" w:eastAsia="仿宋_GB2312"/>
          <w:sz w:val="32"/>
          <w:szCs w:val="32"/>
        </w:rPr>
        <w:t>83.16</w:t>
      </w:r>
      <w:r>
        <w:rPr>
          <w:rFonts w:hint="eastAsia" w:ascii="仿宋_GB2312" w:eastAsia="仿宋_GB2312"/>
          <w:color w:val="000000" w:themeColor="text1"/>
          <w:sz w:val="32"/>
          <w:szCs w:val="32"/>
        </w:rPr>
        <w:t>万元，占</w:t>
      </w:r>
      <w:r>
        <w:rPr>
          <w:rFonts w:hint="eastAsia" w:ascii="仿宋_GB2312" w:eastAsia="仿宋_GB2312"/>
          <w:sz w:val="32"/>
          <w:szCs w:val="32"/>
        </w:rPr>
        <w:t>100%</w:t>
      </w:r>
      <w:r>
        <w:rPr>
          <w:rFonts w:hint="eastAsia" w:ascii="仿宋_GB2312" w:eastAsia="仿宋_GB2312"/>
          <w:color w:val="000000" w:themeColor="text1"/>
          <w:sz w:val="32"/>
          <w:szCs w:val="32"/>
        </w:rPr>
        <w:t>；</w:t>
      </w:r>
      <w:bookmarkStart w:id="10" w:name="OLE_LINK2"/>
      <w:r>
        <w:rPr>
          <w:rFonts w:hint="eastAsia" w:ascii="仿宋_GB2312" w:eastAsia="仿宋_GB2312"/>
          <w:color w:val="000000" w:themeColor="text1"/>
          <w:sz w:val="32"/>
          <w:szCs w:val="32"/>
        </w:rPr>
        <w:t>上级补助收入</w:t>
      </w:r>
      <w:bookmarkEnd w:id="1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1" w:name="OLE_LINK3"/>
      <w:r>
        <w:rPr>
          <w:rFonts w:hint="eastAsia" w:ascii="仿宋_GB2312" w:eastAsia="仿宋_GB2312"/>
          <w:color w:val="000000" w:themeColor="text1"/>
          <w:sz w:val="32"/>
          <w:szCs w:val="32"/>
        </w:rPr>
        <w:t>事业收入</w:t>
      </w:r>
      <w:bookmarkEnd w:id="11"/>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2" w:name="OLE_LINK4"/>
      <w:r>
        <w:rPr>
          <w:rFonts w:hint="eastAsia" w:ascii="仿宋_GB2312" w:eastAsia="仿宋_GB2312"/>
          <w:color w:val="000000" w:themeColor="text1"/>
          <w:sz w:val="32"/>
          <w:szCs w:val="32"/>
        </w:rPr>
        <w:t>经营收入</w:t>
      </w:r>
      <w:bookmarkEnd w:id="1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3" w:name="OLE_LINK5"/>
      <w:r>
        <w:rPr>
          <w:rFonts w:hint="eastAsia" w:ascii="仿宋_GB2312" w:eastAsia="仿宋_GB2312"/>
          <w:color w:val="000000" w:themeColor="text1"/>
          <w:sz w:val="32"/>
          <w:szCs w:val="32"/>
        </w:rPr>
        <w:t>附属单位缴款</w:t>
      </w:r>
      <w:bookmarkEnd w:id="13"/>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4" w:name="OLE_LINK6"/>
      <w:r>
        <w:rPr>
          <w:rFonts w:hint="eastAsia" w:ascii="仿宋_GB2312" w:eastAsia="仿宋_GB2312"/>
          <w:color w:val="000000" w:themeColor="text1"/>
          <w:sz w:val="32"/>
          <w:szCs w:val="32"/>
        </w:rPr>
        <w:t>其他收入</w:t>
      </w:r>
      <w:bookmarkEnd w:id="14"/>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bookmarkStart w:id="15" w:name="OLE_LINK55"/>
      <w:r>
        <w:rPr>
          <w:rFonts w:hint="eastAsia" w:ascii="仿宋_GB2312" w:eastAsia="仿宋_GB2312"/>
          <w:sz w:val="32"/>
          <w:szCs w:val="32"/>
        </w:rPr>
        <w:t>与年初预算数相比情</w:t>
      </w:r>
      <w:r>
        <w:rPr>
          <w:rFonts w:hint="eastAsia" w:ascii="仿宋_GB2312" w:eastAsia="仿宋_GB2312"/>
          <w:color w:val="000000" w:themeColor="text1"/>
          <w:sz w:val="32"/>
          <w:szCs w:val="32"/>
        </w:rPr>
        <w:t>况：本年收入年初预算数121.85万元</w:t>
      </w:r>
      <w:r>
        <w:rPr>
          <w:rFonts w:hint="eastAsia" w:ascii="仿宋_GB2312" w:eastAsia="仿宋_GB2312"/>
          <w:sz w:val="32"/>
          <w:szCs w:val="32"/>
        </w:rPr>
        <w:t>，决算数83.16万元</w:t>
      </w:r>
      <w:r>
        <w:rPr>
          <w:rFonts w:ascii="仿宋_GB2312" w:eastAsia="仿宋_GB2312"/>
          <w:sz w:val="32"/>
          <w:szCs w:val="32"/>
        </w:rPr>
        <w:t>，预决算差异率-31.75%，差异主要原因是:新增单位，无上年对比数据。</w:t>
      </w:r>
      <w:bookmarkEnd w:id="15"/>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（三）部门支出总体情况说明</w:t>
      </w:r>
    </w:p>
    <w:p>
      <w:pPr>
        <w:spacing w:line="540" w:lineRule="exact"/>
        <w:ind w:firstLine="640" w:firstLineChars="200"/>
        <w:rPr>
          <w:rFonts w:ascii="仿宋_GB2312" w:eastAsia="仿宋_GB2312"/>
          <w:color w:val="000000" w:themeColor="text1"/>
          <w:spacing w:val="-6"/>
          <w:sz w:val="32"/>
          <w:szCs w:val="32"/>
        </w:rPr>
      </w:pPr>
      <w:bookmarkStart w:id="16" w:name="OLE_LINK7"/>
      <w:r>
        <w:rPr>
          <w:rFonts w:hint="eastAsia" w:ascii="仿宋_GB2312" w:eastAsia="仿宋_GB2312"/>
          <w:color w:val="000000" w:themeColor="text1"/>
          <w:sz w:val="32"/>
          <w:szCs w:val="32"/>
        </w:rPr>
        <w:t>本年支出合计</w:t>
      </w:r>
      <w:bookmarkEnd w:id="16"/>
      <w:r>
        <w:rPr>
          <w:rFonts w:hint="eastAsia" w:ascii="仿宋_GB2312" w:eastAsia="仿宋_GB2312"/>
          <w:sz w:val="32"/>
          <w:szCs w:val="32"/>
        </w:rPr>
        <w:t>83.16</w:t>
      </w:r>
      <w:r>
        <w:rPr>
          <w:rFonts w:hint="eastAsia" w:ascii="仿宋_GB2312" w:eastAsia="仿宋_GB2312"/>
          <w:color w:val="000000" w:themeColor="text1"/>
          <w:sz w:val="32"/>
          <w:szCs w:val="32"/>
        </w:rPr>
        <w:t>万元，其中：</w:t>
      </w:r>
      <w:bookmarkStart w:id="17" w:name="OLE_LINK8"/>
      <w:r>
        <w:rPr>
          <w:rFonts w:hint="eastAsia" w:ascii="仿宋_GB2312" w:eastAsia="仿宋_GB2312"/>
          <w:color w:val="000000" w:themeColor="text1"/>
          <w:sz w:val="32"/>
          <w:szCs w:val="32"/>
        </w:rPr>
        <w:t>基本支出</w:t>
      </w:r>
      <w:bookmarkEnd w:id="17"/>
      <w:r>
        <w:rPr>
          <w:rFonts w:hint="eastAsia" w:ascii="仿宋_GB2312" w:eastAsia="仿宋_GB2312"/>
          <w:sz w:val="32"/>
          <w:szCs w:val="32"/>
        </w:rPr>
        <w:t>65.18</w:t>
      </w:r>
      <w:r>
        <w:rPr>
          <w:rFonts w:hint="eastAsia" w:ascii="仿宋_GB2312" w:eastAsia="仿宋_GB2312"/>
          <w:color w:val="000000" w:themeColor="text1"/>
          <w:sz w:val="32"/>
          <w:szCs w:val="32"/>
        </w:rPr>
        <w:t>万元，占</w:t>
      </w:r>
      <w:r>
        <w:rPr>
          <w:rFonts w:hint="eastAsia" w:ascii="仿宋_GB2312" w:eastAsia="仿宋_GB2312"/>
          <w:sz w:val="32"/>
          <w:szCs w:val="32"/>
        </w:rPr>
        <w:t>78.38%</w:t>
      </w:r>
      <w:r>
        <w:rPr>
          <w:rFonts w:hint="eastAsia" w:ascii="仿宋_GB2312" w:eastAsia="仿宋_GB2312"/>
          <w:color w:val="000000" w:themeColor="text1"/>
          <w:sz w:val="32"/>
          <w:szCs w:val="32"/>
        </w:rPr>
        <w:t>；</w:t>
      </w:r>
      <w:bookmarkStart w:id="18" w:name="OLE_LINK9"/>
      <w:r>
        <w:rPr>
          <w:rFonts w:hint="eastAsia" w:ascii="仿宋_GB2312" w:eastAsia="仿宋_GB2312"/>
          <w:color w:val="000000" w:themeColor="text1"/>
          <w:sz w:val="32"/>
          <w:szCs w:val="32"/>
        </w:rPr>
        <w:t>项目支出</w:t>
      </w:r>
      <w:bookmarkEnd w:id="18"/>
      <w:r>
        <w:rPr>
          <w:rFonts w:hint="eastAsia" w:ascii="仿宋_GB2312" w:eastAsia="仿宋_GB2312"/>
          <w:sz w:val="32"/>
          <w:szCs w:val="32"/>
        </w:rPr>
        <w:t>17.98</w:t>
      </w:r>
      <w:r>
        <w:rPr>
          <w:rFonts w:hint="eastAsia" w:ascii="仿宋_GB2312" w:eastAsia="仿宋_GB2312"/>
          <w:color w:val="000000" w:themeColor="text1"/>
          <w:sz w:val="32"/>
          <w:szCs w:val="32"/>
        </w:rPr>
        <w:t>万元，占</w:t>
      </w:r>
      <w:r>
        <w:rPr>
          <w:rFonts w:hint="eastAsia" w:ascii="仿宋_GB2312" w:eastAsia="仿宋_GB2312"/>
          <w:sz w:val="32"/>
          <w:szCs w:val="32"/>
        </w:rPr>
        <w:t>21.62%</w:t>
      </w:r>
      <w:r>
        <w:rPr>
          <w:rFonts w:hint="eastAsia" w:ascii="仿宋_GB2312" w:eastAsia="仿宋_GB2312"/>
          <w:color w:val="000000" w:themeColor="text1"/>
          <w:sz w:val="32"/>
          <w:szCs w:val="32"/>
        </w:rPr>
        <w:t>；</w:t>
      </w:r>
      <w:bookmarkStart w:id="19" w:name="OLE_LINK10"/>
      <w:r>
        <w:rPr>
          <w:rFonts w:hint="eastAsia" w:ascii="仿宋_GB2312" w:eastAsia="仿宋_GB2312"/>
          <w:color w:val="000000" w:themeColor="text1"/>
          <w:sz w:val="32"/>
          <w:szCs w:val="32"/>
        </w:rPr>
        <w:t>上缴上级支出</w:t>
      </w:r>
      <w:bookmarkEnd w:id="1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20" w:name="OLE_LINK11"/>
      <w:r>
        <w:rPr>
          <w:rFonts w:hint="eastAsia" w:ascii="仿宋_GB2312" w:eastAsia="仿宋_GB2312"/>
          <w:color w:val="000000" w:themeColor="text1"/>
          <w:spacing w:val="-6"/>
          <w:sz w:val="32"/>
          <w:szCs w:val="32"/>
        </w:rPr>
        <w:t>经营支出</w:t>
      </w:r>
      <w:bookmarkEnd w:id="20"/>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color w:val="000000" w:themeColor="text1"/>
          <w:spacing w:val="-6"/>
          <w:sz w:val="32"/>
          <w:szCs w:val="32"/>
        </w:rPr>
        <w:t>；</w:t>
      </w:r>
      <w:bookmarkStart w:id="21" w:name="OLE_LINK12"/>
      <w:r>
        <w:rPr>
          <w:rFonts w:hint="eastAsia" w:ascii="仿宋_GB2312" w:eastAsia="仿宋_GB2312"/>
          <w:color w:val="000000" w:themeColor="text1"/>
          <w:spacing w:val="-6"/>
          <w:sz w:val="32"/>
          <w:szCs w:val="32"/>
        </w:rPr>
        <w:t>对附属单位补助支出</w:t>
      </w:r>
      <w:bookmarkEnd w:id="21"/>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p>
    <w:p>
      <w:pPr>
        <w:spacing w:line="540" w:lineRule="exact"/>
        <w:ind w:firstLine="640" w:firstLineChars="200"/>
        <w:rPr>
          <w:rFonts w:ascii="仿宋_GB2312" w:eastAsia="仿宋_GB2312"/>
          <w:sz w:val="32"/>
          <w:szCs w:val="32"/>
        </w:rPr>
      </w:pPr>
      <w:bookmarkStart w:id="22" w:name="OLE_LINK56"/>
      <w:r>
        <w:rPr>
          <w:rFonts w:hint="eastAsia" w:ascii="仿宋_GB2312" w:eastAsia="仿宋_GB2312"/>
          <w:color w:val="000000" w:themeColor="text1"/>
          <w:sz w:val="32"/>
          <w:szCs w:val="32"/>
        </w:rPr>
        <w:t>与年初预算数相比情况：本年支出年初预算数121.85万元，</w:t>
      </w:r>
      <w:r>
        <w:rPr>
          <w:rFonts w:hint="eastAsia" w:ascii="仿宋_GB2312" w:eastAsia="仿宋_GB2312"/>
          <w:sz w:val="32"/>
          <w:szCs w:val="32"/>
        </w:rPr>
        <w:t>决算数83.16万元</w:t>
      </w:r>
      <w:r>
        <w:rPr>
          <w:rFonts w:ascii="仿宋_GB2312" w:eastAsia="仿宋_GB2312"/>
          <w:sz w:val="32"/>
          <w:szCs w:val="32"/>
        </w:rPr>
        <w:t>，预决算差异率-31.75%，差异主要原因是:新增单位，无上年对比数据。</w:t>
      </w:r>
    </w:p>
    <w:bookmarkEnd w:id="22"/>
    <w:p>
      <w:pPr>
        <w:spacing w:line="54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540" w:lineRule="exact"/>
        <w:ind w:firstLine="640" w:firstLineChars="200"/>
        <w:rPr>
          <w:rFonts w:ascii="仿宋_GB2312" w:eastAsia="仿宋_GB2312"/>
          <w:color w:val="000000" w:themeColor="text1"/>
          <w:sz w:val="32"/>
          <w:szCs w:val="32"/>
        </w:rPr>
      </w:pPr>
      <w:bookmarkStart w:id="23" w:name="OLE_LINK58"/>
      <w:bookmarkStart w:id="24" w:name="OLE_LINK57"/>
      <w:r>
        <w:rPr>
          <w:rFonts w:hint="eastAsia" w:ascii="仿宋_GB2312" w:eastAsia="仿宋_GB2312"/>
          <w:color w:val="000000" w:themeColor="text1"/>
          <w:sz w:val="32"/>
          <w:szCs w:val="32"/>
        </w:rPr>
        <w:t>2018年度</w:t>
      </w:r>
      <w:bookmarkStart w:id="25" w:name="OLE_LINK13"/>
      <w:r>
        <w:rPr>
          <w:rFonts w:hint="eastAsia" w:ascii="仿宋_GB2312" w:eastAsia="仿宋_GB2312"/>
          <w:color w:val="000000" w:themeColor="text1"/>
          <w:sz w:val="32"/>
          <w:szCs w:val="32"/>
        </w:rPr>
        <w:t>财政拨款收入</w:t>
      </w:r>
      <w:bookmarkEnd w:id="25"/>
      <w:r>
        <w:rPr>
          <w:rFonts w:hint="eastAsia" w:ascii="仿宋_GB2312" w:eastAsia="仿宋_GB2312"/>
          <w:sz w:val="32"/>
          <w:szCs w:val="32"/>
        </w:rPr>
        <w:t>83.16</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，与上年相比增加0万元，增长0%，主要原因是：新增单位，无上年对比数据。</w:t>
      </w:r>
      <w:bookmarkEnd w:id="23"/>
      <w:bookmarkEnd w:id="24"/>
      <w:bookmarkStart w:id="26" w:name="OLE_LINK14"/>
      <w:bookmarkStart w:id="27" w:name="OLE_LINK60"/>
      <w:bookmarkStart w:id="28" w:name="OLE_LINK59"/>
      <w:r>
        <w:rPr>
          <w:rFonts w:hint="eastAsia" w:ascii="仿宋_GB2312" w:eastAsia="仿宋_GB2312"/>
          <w:color w:val="000000" w:themeColor="text1"/>
          <w:sz w:val="32"/>
          <w:szCs w:val="32"/>
        </w:rPr>
        <w:t>财政拨款支出</w:t>
      </w:r>
      <w:bookmarkEnd w:id="26"/>
      <w:r>
        <w:rPr>
          <w:rFonts w:hint="eastAsia" w:ascii="仿宋_GB2312" w:eastAsia="仿宋_GB2312"/>
          <w:sz w:val="32"/>
          <w:szCs w:val="32"/>
        </w:rPr>
        <w:t>83.16</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，与上年相比增加0万元，增长0%，主要原因是：</w:t>
      </w:r>
      <w:r>
        <w:rPr>
          <w:rFonts w:ascii="仿宋_GB2312" w:eastAsia="仿宋_GB2312"/>
          <w:sz w:val="32"/>
          <w:szCs w:val="32"/>
        </w:rPr>
        <w:t>新增单位，无上年对比数据。</w:t>
      </w:r>
      <w:bookmarkEnd w:id="27"/>
      <w:bookmarkEnd w:id="28"/>
      <w:bookmarkStart w:id="29" w:name="OLE_LINK61"/>
      <w:r>
        <w:rPr>
          <w:rFonts w:hint="eastAsia" w:ascii="仿宋_GB2312" w:eastAsia="仿宋_GB2312"/>
          <w:color w:val="000000" w:themeColor="text1"/>
          <w:sz w:val="32"/>
          <w:szCs w:val="32"/>
        </w:rPr>
        <w:t>其中：</w:t>
      </w:r>
      <w:bookmarkStart w:id="30" w:name="OLE_LINK15"/>
      <w:r>
        <w:rPr>
          <w:rFonts w:hint="eastAsia" w:ascii="仿宋_GB2312" w:eastAsia="仿宋_GB2312"/>
          <w:color w:val="000000" w:themeColor="text1"/>
          <w:sz w:val="32"/>
          <w:szCs w:val="32"/>
        </w:rPr>
        <w:t>基本支出</w:t>
      </w:r>
      <w:bookmarkEnd w:id="30"/>
      <w:r>
        <w:rPr>
          <w:rFonts w:hint="eastAsia" w:ascii="仿宋_GB2312" w:eastAsia="仿宋_GB2312"/>
          <w:sz w:val="32"/>
          <w:szCs w:val="32"/>
        </w:rPr>
        <w:t>65.18</w:t>
      </w:r>
      <w:r>
        <w:rPr>
          <w:rFonts w:hint="eastAsia" w:ascii="仿宋_GB2312" w:eastAsia="仿宋_GB2312"/>
          <w:color w:val="000000" w:themeColor="text1"/>
          <w:sz w:val="32"/>
          <w:szCs w:val="32"/>
        </w:rPr>
        <w:t>万元，项目支出</w:t>
      </w:r>
      <w:r>
        <w:rPr>
          <w:rFonts w:hint="eastAsia" w:ascii="仿宋_GB2312" w:eastAsia="仿宋_GB2312"/>
          <w:sz w:val="32"/>
          <w:szCs w:val="32"/>
        </w:rPr>
        <w:t>17.98</w:t>
      </w:r>
      <w:r>
        <w:rPr>
          <w:rFonts w:hint="eastAsia" w:ascii="仿宋_GB2312" w:eastAsia="仿宋_GB2312"/>
          <w:color w:val="000000" w:themeColor="text1"/>
          <w:sz w:val="32"/>
          <w:szCs w:val="32"/>
        </w:rPr>
        <w:t>万元。</w:t>
      </w:r>
      <w:bookmarkStart w:id="31" w:name="OLE_LINK16"/>
      <w:r>
        <w:rPr>
          <w:rFonts w:hint="eastAsia" w:ascii="仿宋_GB2312" w:eastAsia="仿宋_GB2312"/>
          <w:color w:val="000000" w:themeColor="text1"/>
          <w:sz w:val="32"/>
          <w:szCs w:val="32"/>
        </w:rPr>
        <w:t>财政拨款结转结余</w:t>
      </w:r>
      <w:bookmarkEnd w:id="31"/>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，与上年相比增加0万元，增长0%，主要原因是：无变化。</w:t>
      </w:r>
      <w:bookmarkEnd w:id="29"/>
    </w:p>
    <w:p>
      <w:pPr>
        <w:spacing w:line="540" w:lineRule="exact"/>
        <w:ind w:firstLine="640" w:firstLineChars="200"/>
        <w:rPr>
          <w:rFonts w:ascii="仿宋_GB2312" w:eastAsia="仿宋_GB2312"/>
          <w:color w:val="000000" w:themeColor="text1"/>
          <w:sz w:val="32"/>
          <w:szCs w:val="32"/>
        </w:rPr>
      </w:pPr>
      <w:bookmarkStart w:id="32" w:name="OLE_LINK62"/>
      <w:r>
        <w:rPr>
          <w:rFonts w:hint="eastAsia" w:ascii="仿宋_GB2312" w:eastAsia="仿宋_GB2312"/>
          <w:color w:val="000000" w:themeColor="text1"/>
          <w:sz w:val="32"/>
          <w:szCs w:val="32"/>
        </w:rPr>
        <w:t>与年初预算数相比情况：财政拨款收入年初预算数</w:t>
      </w:r>
      <w:r>
        <w:rPr>
          <w:rFonts w:ascii="仿宋_GB2312" w:eastAsia="仿宋_GB2312"/>
          <w:color w:val="000000" w:themeColor="text1"/>
          <w:sz w:val="32"/>
          <w:szCs w:val="32"/>
        </w:rPr>
        <w:t>121.85</w:t>
      </w:r>
      <w:r>
        <w:rPr>
          <w:rFonts w:hint="eastAsia" w:ascii="仿宋_GB2312" w:eastAsia="仿宋_GB2312"/>
          <w:color w:val="000000" w:themeColor="text1"/>
          <w:sz w:val="32"/>
          <w:szCs w:val="32"/>
        </w:rPr>
        <w:t>万元，决算数</w:t>
      </w:r>
      <w:r>
        <w:rPr>
          <w:rFonts w:hint="eastAsia" w:ascii="仿宋_GB2312" w:eastAsia="仿宋_GB2312"/>
          <w:sz w:val="32"/>
          <w:szCs w:val="32"/>
        </w:rPr>
        <w:t>83.16</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，预决算差异率-31.75%，差异主要原因是:新增单位，无上年对比数据。</w:t>
      </w:r>
      <w:bookmarkEnd w:id="32"/>
      <w:bookmarkStart w:id="33" w:name="OLE_LINK63"/>
      <w:r>
        <w:rPr>
          <w:rFonts w:hint="eastAsia" w:ascii="仿宋_GB2312" w:eastAsia="仿宋_GB2312"/>
          <w:color w:val="000000" w:themeColor="text1"/>
          <w:sz w:val="32"/>
          <w:szCs w:val="32"/>
        </w:rPr>
        <w:t>财政拨款支出年初预算数</w:t>
      </w:r>
      <w:r>
        <w:rPr>
          <w:rFonts w:ascii="仿宋_GB2312" w:eastAsia="仿宋_GB2312"/>
          <w:color w:val="000000" w:themeColor="text1"/>
          <w:sz w:val="32"/>
          <w:szCs w:val="32"/>
        </w:rPr>
        <w:t>121.85</w:t>
      </w:r>
      <w:r>
        <w:rPr>
          <w:rFonts w:hint="eastAsia" w:ascii="仿宋_GB2312" w:eastAsia="仿宋_GB2312"/>
          <w:color w:val="000000" w:themeColor="text1"/>
          <w:sz w:val="32"/>
          <w:szCs w:val="32"/>
        </w:rPr>
        <w:t>万元，决算数</w:t>
      </w:r>
      <w:r>
        <w:rPr>
          <w:rFonts w:hint="eastAsia" w:ascii="仿宋_GB2312" w:eastAsia="仿宋_GB2312"/>
          <w:sz w:val="32"/>
          <w:szCs w:val="32"/>
        </w:rPr>
        <w:t>83.16</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，预决算差异率-31.75%，差异主要原因是:新增单位，无上年对比数据。</w:t>
      </w:r>
      <w:bookmarkEnd w:id="3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540" w:lineRule="exact"/>
        <w:ind w:firstLine="640" w:firstLineChars="200"/>
        <w:rPr>
          <w:rFonts w:ascii="仿宋_GB2312" w:eastAsia="仿宋_GB2312"/>
          <w:color w:val="000000" w:themeColor="text1"/>
          <w:sz w:val="32"/>
          <w:szCs w:val="32"/>
        </w:rPr>
      </w:pPr>
      <w:bookmarkStart w:id="34" w:name="OLE_LINK64"/>
      <w:r>
        <w:rPr>
          <w:rFonts w:hint="eastAsia" w:ascii="仿宋_GB2312" w:eastAsia="仿宋_GB2312"/>
          <w:color w:val="000000" w:themeColor="text1"/>
          <w:sz w:val="32"/>
          <w:szCs w:val="32"/>
        </w:rPr>
        <w:t>2018年度</w:t>
      </w:r>
      <w:bookmarkStart w:id="35" w:name="OLE_LINK17"/>
      <w:r>
        <w:rPr>
          <w:rFonts w:hint="eastAsia" w:ascii="仿宋_GB2312" w:eastAsia="仿宋_GB2312"/>
          <w:color w:val="000000" w:themeColor="text1"/>
          <w:sz w:val="32"/>
          <w:szCs w:val="32"/>
        </w:rPr>
        <w:t>一般公共预算财政拨款收入</w:t>
      </w:r>
      <w:bookmarkEnd w:id="35"/>
      <w:r>
        <w:rPr>
          <w:rFonts w:ascii="仿宋_GB2312" w:eastAsia="仿宋_GB2312"/>
          <w:color w:val="000000" w:themeColor="text1"/>
          <w:sz w:val="32"/>
          <w:szCs w:val="32"/>
        </w:rPr>
        <w:t>83.16</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，与上年相比增加0万元，增长0%，主要原因是：新增单位，无上年对比数据。</w:t>
      </w:r>
      <w:bookmarkEnd w:id="34"/>
      <w:bookmarkStart w:id="36" w:name="OLE_LINK18"/>
      <w:bookmarkStart w:id="37" w:name="OLE_LINK65"/>
      <w:r>
        <w:rPr>
          <w:rFonts w:hint="eastAsia" w:ascii="仿宋_GB2312" w:eastAsia="仿宋_GB2312"/>
          <w:color w:val="000000" w:themeColor="text1"/>
          <w:sz w:val="32"/>
          <w:szCs w:val="32"/>
        </w:rPr>
        <w:t>一般公共预算财政拨款支出</w:t>
      </w:r>
      <w:r>
        <w:rPr>
          <w:rFonts w:hint="eastAsia" w:ascii="仿宋_GB2312" w:eastAsia="仿宋_GB2312"/>
          <w:sz w:val="32"/>
          <w:szCs w:val="32"/>
        </w:rPr>
        <w:t>83.16</w:t>
      </w:r>
      <w:r>
        <w:rPr>
          <w:rFonts w:hint="eastAsia" w:ascii="仿宋_GB2312" w:eastAsia="仿宋_GB2312"/>
          <w:color w:val="000000" w:themeColor="text1"/>
          <w:sz w:val="32"/>
          <w:szCs w:val="32"/>
        </w:rPr>
        <w:t>万元</w:t>
      </w:r>
      <w:bookmarkEnd w:id="36"/>
      <w:r>
        <w:rPr>
          <w:rFonts w:hint="eastAsia" w:ascii="仿宋_GB2312" w:eastAsia="仿宋_GB2312"/>
          <w:sz w:val="32"/>
          <w:szCs w:val="32"/>
        </w:rPr>
        <w:t>，与上年相比增加0万元，增长0%，主要原因是：新增单位，无上年对比数据。</w:t>
      </w:r>
      <w:bookmarkEnd w:id="37"/>
      <w:r>
        <w:rPr>
          <w:rFonts w:hint="eastAsia" w:ascii="仿宋_GB2312" w:eastAsia="仿宋_GB2312"/>
          <w:color w:val="000000" w:themeColor="text1"/>
          <w:sz w:val="32"/>
          <w:szCs w:val="32"/>
        </w:rPr>
        <w:t>其中：</w:t>
      </w:r>
      <w:bookmarkStart w:id="38" w:name="OLE_LINK19"/>
      <w:r>
        <w:rPr>
          <w:rFonts w:hint="eastAsia" w:ascii="仿宋_GB2312" w:eastAsia="仿宋_GB2312"/>
          <w:color w:val="000000" w:themeColor="text1"/>
          <w:sz w:val="32"/>
          <w:szCs w:val="32"/>
        </w:rPr>
        <w:t>按功能分类科目（按类级科目公开）</w:t>
      </w:r>
      <w:bookmarkEnd w:id="38"/>
      <w:r>
        <w:rPr>
          <w:rFonts w:hint="eastAsia" w:ascii="仿宋_GB2312" w:eastAsia="仿宋_GB2312"/>
          <w:color w:val="000000" w:themeColor="text1"/>
          <w:sz w:val="32"/>
          <w:szCs w:val="32"/>
        </w:rPr>
        <w:t>，</w:t>
      </w:r>
      <w:r>
        <w:rPr>
          <w:rFonts w:hint="eastAsia" w:ascii="仿宋_GB2312" w:eastAsia="仿宋_GB2312"/>
          <w:sz w:val="32"/>
          <w:szCs w:val="32"/>
        </w:rPr>
        <w:t>住房保障支出3.78万元,一般公共服务支出73.47万元,社会保障和就业支出5.92万元。</w:t>
      </w:r>
      <w:bookmarkStart w:id="39" w:name="OLE_LINK20"/>
      <w:bookmarkStart w:id="40" w:name="OLE_LINK21"/>
      <w:r>
        <w:rPr>
          <w:rFonts w:hint="eastAsia" w:ascii="仿宋_GB2312" w:eastAsia="仿宋_GB2312"/>
          <w:color w:val="000000" w:themeColor="text1"/>
          <w:sz w:val="32"/>
          <w:szCs w:val="32"/>
        </w:rPr>
        <w:t>按经济分类科目</w:t>
      </w:r>
      <w:bookmarkEnd w:id="39"/>
      <w:r>
        <w:rPr>
          <w:rFonts w:hint="eastAsia" w:ascii="仿宋_GB2312" w:eastAsia="仿宋_GB2312"/>
          <w:color w:val="000000" w:themeColor="text1"/>
          <w:sz w:val="32"/>
          <w:szCs w:val="32"/>
        </w:rPr>
        <w:t>（按类级科目公开）</w:t>
      </w:r>
      <w:bookmarkEnd w:id="40"/>
      <w:r>
        <w:rPr>
          <w:rFonts w:hint="eastAsia" w:ascii="仿宋_GB2312" w:eastAsia="仿宋_GB2312"/>
          <w:color w:val="000000" w:themeColor="text1"/>
          <w:sz w:val="32"/>
          <w:szCs w:val="32"/>
        </w:rPr>
        <w:t>，</w:t>
      </w:r>
      <w:r>
        <w:rPr>
          <w:rFonts w:hint="eastAsia" w:ascii="仿宋_GB2312" w:eastAsia="仿宋_GB2312"/>
          <w:sz w:val="32"/>
          <w:szCs w:val="32"/>
        </w:rPr>
        <w:t>工资福利支出56.37万元,商品和服务支出24.69万元,对个人和家庭的补助2.11万元。</w:t>
      </w:r>
    </w:p>
    <w:p>
      <w:pPr>
        <w:spacing w:line="540" w:lineRule="exact"/>
        <w:ind w:firstLine="640" w:firstLineChars="200"/>
        <w:rPr>
          <w:rFonts w:ascii="仿宋_GB2312" w:eastAsia="仿宋_GB2312"/>
          <w:color w:val="000000" w:themeColor="text1"/>
          <w:sz w:val="32"/>
          <w:szCs w:val="32"/>
        </w:rPr>
      </w:pPr>
      <w:bookmarkStart w:id="41" w:name="OLE_LINK67"/>
      <w:bookmarkStart w:id="42" w:name="OLE_LINK66"/>
      <w:r>
        <w:rPr>
          <w:rFonts w:hint="eastAsia" w:ascii="仿宋_GB2312" w:eastAsia="仿宋_GB2312"/>
          <w:color w:val="000000" w:themeColor="text1"/>
          <w:sz w:val="32"/>
          <w:szCs w:val="32"/>
        </w:rPr>
        <w:t>与年初预算数相比情况：一般公共预算财政拨款收入年初预算数</w:t>
      </w:r>
      <w:r>
        <w:rPr>
          <w:rFonts w:ascii="仿宋_GB2312" w:eastAsia="仿宋_GB2312"/>
          <w:color w:val="000000" w:themeColor="text1"/>
          <w:sz w:val="32"/>
          <w:szCs w:val="32"/>
        </w:rPr>
        <w:t>121.85</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83.16</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，预决算差异率-31.75%，差异主要原因是:部分项目未实施，减小经费支出。</w:t>
      </w:r>
      <w:bookmarkEnd w:id="41"/>
      <w:bookmarkEnd w:id="42"/>
      <w:bookmarkStart w:id="43" w:name="OLE_LINK68"/>
      <w:r>
        <w:rPr>
          <w:rFonts w:hint="eastAsia" w:ascii="仿宋_GB2312" w:eastAsia="仿宋_GB2312"/>
          <w:color w:val="000000" w:themeColor="text1"/>
          <w:sz w:val="32"/>
          <w:szCs w:val="32"/>
        </w:rPr>
        <w:t>一般公共预算财政拨款支出年初预算数</w:t>
      </w:r>
      <w:r>
        <w:rPr>
          <w:rFonts w:ascii="仿宋_GB2312" w:eastAsia="仿宋_GB2312"/>
          <w:color w:val="000000" w:themeColor="text1"/>
          <w:sz w:val="32"/>
          <w:szCs w:val="32"/>
        </w:rPr>
        <w:t>121.85</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83.16</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，预决算差异率-31.75%，差异主要原因是:部分项目未实施，减小经费支出。</w:t>
      </w:r>
      <w:bookmarkEnd w:id="4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40" w:lineRule="exact"/>
        <w:ind w:firstLine="640" w:firstLineChars="200"/>
        <w:rPr>
          <w:rFonts w:ascii="仿宋_GB2312" w:eastAsia="仿宋_GB2312"/>
          <w:color w:val="000000" w:themeColor="text1"/>
          <w:sz w:val="32"/>
          <w:szCs w:val="32"/>
        </w:rPr>
      </w:pPr>
      <w:bookmarkStart w:id="44" w:name="OLE_LINK69"/>
      <w:r>
        <w:rPr>
          <w:rFonts w:hint="eastAsia" w:ascii="仿宋_GB2312" w:eastAsia="仿宋_GB2312"/>
          <w:color w:val="000000" w:themeColor="text1"/>
          <w:sz w:val="32"/>
          <w:szCs w:val="32"/>
        </w:rPr>
        <w:t>2018年度</w:t>
      </w:r>
      <w:bookmarkStart w:id="45" w:name="OLE_LINK22"/>
      <w:r>
        <w:rPr>
          <w:rFonts w:hint="eastAsia" w:ascii="仿宋_GB2312" w:eastAsia="仿宋_GB2312"/>
          <w:color w:val="000000" w:themeColor="text1"/>
          <w:sz w:val="32"/>
          <w:szCs w:val="32"/>
        </w:rPr>
        <w:t>政府性基金预算财政拨款收入</w:t>
      </w:r>
      <w:bookmarkEnd w:id="4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，与上年相比增加0万元，增长0%，主要原因是：无政府性基金收入。</w:t>
      </w:r>
      <w:bookmarkEnd w:id="44"/>
      <w:bookmarkStart w:id="46" w:name="OLE_LINK23"/>
      <w:bookmarkStart w:id="47" w:name="OLE_LINK70"/>
      <w:r>
        <w:rPr>
          <w:rFonts w:hint="eastAsia" w:ascii="仿宋_GB2312" w:eastAsia="仿宋_GB2312"/>
          <w:color w:val="000000" w:themeColor="text1"/>
          <w:sz w:val="32"/>
          <w:szCs w:val="32"/>
        </w:rPr>
        <w:t>政府性基金预算支出</w:t>
      </w:r>
      <w:bookmarkEnd w:id="46"/>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，与上年相比增加0万元，增长0%，主要原因是：无政府性基金支出。</w:t>
      </w:r>
      <w:bookmarkEnd w:id="47"/>
      <w:r>
        <w:rPr>
          <w:rFonts w:hint="eastAsia" w:ascii="仿宋_GB2312" w:eastAsia="仿宋_GB2312"/>
          <w:color w:val="000000" w:themeColor="text1"/>
          <w:sz w:val="32"/>
          <w:szCs w:val="32"/>
        </w:rPr>
        <w:t>其中：</w:t>
      </w:r>
      <w:bookmarkStart w:id="48" w:name="OLE_LINK24"/>
      <w:r>
        <w:rPr>
          <w:rFonts w:hint="eastAsia" w:ascii="仿宋_GB2312" w:eastAsia="仿宋_GB2312"/>
          <w:color w:val="000000" w:themeColor="text1"/>
          <w:sz w:val="32"/>
          <w:szCs w:val="32"/>
        </w:rPr>
        <w:t>按功能分类科目（按类级科目公开）</w:t>
      </w:r>
      <w:bookmarkEnd w:id="48"/>
      <w:r>
        <w:rPr>
          <w:rFonts w:hint="eastAsia" w:ascii="仿宋_GB2312" w:eastAsia="仿宋_GB2312"/>
          <w:color w:val="000000" w:themeColor="text1"/>
          <w:sz w:val="32"/>
          <w:szCs w:val="32"/>
        </w:rPr>
        <w:t>，无。按经济分类科目（按类级科目公开），无。</w:t>
      </w:r>
    </w:p>
    <w:p>
      <w:pPr>
        <w:spacing w:line="540" w:lineRule="exact"/>
        <w:ind w:firstLine="640" w:firstLineChars="200"/>
        <w:rPr>
          <w:rFonts w:ascii="仿宋_GB2312" w:eastAsia="仿宋_GB2312"/>
          <w:color w:val="000000" w:themeColor="text1"/>
          <w:sz w:val="32"/>
          <w:szCs w:val="32"/>
        </w:rPr>
      </w:pPr>
      <w:bookmarkStart w:id="49" w:name="OLE_LINK72"/>
      <w:bookmarkStart w:id="50" w:name="OLE_LINK71"/>
      <w:r>
        <w:rPr>
          <w:rFonts w:hint="eastAsia" w:ascii="仿宋_GB2312" w:eastAsia="仿宋_GB2312"/>
          <w:color w:val="000000" w:themeColor="text1"/>
          <w:sz w:val="32"/>
          <w:szCs w:val="32"/>
        </w:rPr>
        <w:t>与年初预算数相比情况：政府性基金预算财政拨款收入年初预算数0万元，决算数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，预决算差异率0%，差异主要原因是:无政府性基金收入。</w:t>
      </w:r>
      <w:bookmarkEnd w:id="49"/>
      <w:bookmarkEnd w:id="50"/>
      <w:bookmarkStart w:id="51" w:name="OLE_LINK73"/>
      <w:r>
        <w:rPr>
          <w:rFonts w:hint="eastAsia" w:ascii="仿宋_GB2312" w:eastAsia="仿宋_GB2312"/>
          <w:color w:val="000000" w:themeColor="text1"/>
          <w:sz w:val="32"/>
          <w:szCs w:val="32"/>
        </w:rPr>
        <w:t>政府性基金预算财政拨款支出年初预算数0万元，决算数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，预决算差异率0%，差异主要原因是:无政府性基金支出。</w:t>
      </w:r>
      <w:bookmarkEnd w:id="51"/>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三、部门结转结余情况</w:t>
      </w:r>
    </w:p>
    <w:p>
      <w:pPr>
        <w:spacing w:line="540" w:lineRule="exact"/>
        <w:ind w:firstLine="640" w:firstLineChars="200"/>
        <w:rPr>
          <w:rFonts w:ascii="仿宋_GB2312" w:eastAsia="仿宋_GB2312"/>
          <w:color w:val="000000" w:themeColor="text1"/>
          <w:sz w:val="32"/>
          <w:szCs w:val="32"/>
        </w:rPr>
      </w:pPr>
      <w:bookmarkStart w:id="52" w:name="OLE_LINK26"/>
      <w:bookmarkStart w:id="53" w:name="OLE_LINK25"/>
      <w:r>
        <w:rPr>
          <w:rFonts w:hint="eastAsia" w:ascii="仿宋_GB2312" w:eastAsia="仿宋_GB2312"/>
          <w:color w:val="000000" w:themeColor="text1"/>
          <w:sz w:val="32"/>
          <w:szCs w:val="32"/>
        </w:rPr>
        <w:t>年末结转结余</w:t>
      </w:r>
      <w:bookmarkEnd w:id="52"/>
      <w:bookmarkEnd w:id="53"/>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。与上年相比，增加0万元，增长0%</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r>
        <w:rPr>
          <w:rFonts w:hint="eastAsia" w:ascii="仿宋_GB2312" w:eastAsia="仿宋_GB2312"/>
          <w:color w:val="000000" w:themeColor="text1"/>
          <w:sz w:val="32"/>
          <w:szCs w:val="32"/>
        </w:rPr>
        <w:t>其中</w:t>
      </w:r>
      <w:bookmarkStart w:id="54" w:name="OLE_LINK27"/>
      <w:bookmarkStart w:id="55" w:name="OLE_LINK28"/>
      <w:r>
        <w:rPr>
          <w:rFonts w:hint="eastAsia" w:ascii="仿宋_GB2312" w:eastAsia="仿宋_GB2312"/>
          <w:color w:val="000000" w:themeColor="text1"/>
          <w:sz w:val="32"/>
          <w:szCs w:val="32"/>
        </w:rPr>
        <w:t>财政拨款结转结余</w:t>
      </w:r>
      <w:bookmarkEnd w:id="54"/>
      <w:bookmarkEnd w:id="5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。与上年相比，增加0万元，增长0%。</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spacing w:line="540" w:lineRule="exact"/>
        <w:ind w:firstLine="640" w:firstLineChars="200"/>
        <w:rPr>
          <w:rFonts w:ascii="仿宋_GB2312" w:eastAsia="仿宋_GB2312"/>
          <w:color w:val="000000" w:themeColor="text1"/>
          <w:sz w:val="32"/>
          <w:szCs w:val="32"/>
        </w:rPr>
      </w:pPr>
      <w:bookmarkStart w:id="56" w:name="OLE_LINK74"/>
      <w:r>
        <w:rPr>
          <w:rFonts w:hint="eastAsia" w:ascii="仿宋_GB2312" w:eastAsia="仿宋_GB2312"/>
          <w:color w:val="000000" w:themeColor="text1"/>
          <w:sz w:val="32"/>
          <w:szCs w:val="32"/>
        </w:rPr>
        <w:t>2018年度</w:t>
      </w:r>
      <w:bookmarkStart w:id="57" w:name="OLE_LINK29"/>
      <w:r>
        <w:rPr>
          <w:rFonts w:hint="eastAsia" w:ascii="仿宋_GB2312" w:eastAsia="仿宋_GB2312"/>
          <w:color w:val="000000" w:themeColor="text1"/>
          <w:sz w:val="32"/>
          <w:szCs w:val="32"/>
        </w:rPr>
        <w:t>一般公共预算“三公”经费支出决算</w:t>
      </w:r>
      <w:bookmarkEnd w:id="57"/>
      <w:r>
        <w:rPr>
          <w:rFonts w:hint="eastAsia" w:ascii="仿宋_GB2312" w:eastAsia="仿宋_GB2312"/>
          <w:sz w:val="32"/>
          <w:szCs w:val="32"/>
        </w:rPr>
        <w:t>2.83</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，与上年相比增加0万元，增长0%，主要原因是：新增单位，无上年对比数据。</w:t>
      </w:r>
      <w:bookmarkEnd w:id="56"/>
      <w:bookmarkStart w:id="58" w:name="OLE_LINK75"/>
      <w:r>
        <w:rPr>
          <w:rFonts w:hint="eastAsia" w:ascii="仿宋_GB2312" w:eastAsia="仿宋_GB2312"/>
          <w:color w:val="000000" w:themeColor="text1"/>
          <w:sz w:val="32"/>
          <w:szCs w:val="32"/>
        </w:rPr>
        <w:t>其中，</w:t>
      </w:r>
      <w:bookmarkStart w:id="59" w:name="OLE_LINK30"/>
      <w:r>
        <w:rPr>
          <w:rFonts w:hint="eastAsia" w:ascii="仿宋_GB2312" w:eastAsia="仿宋_GB2312"/>
          <w:color w:val="000000" w:themeColor="text1"/>
          <w:sz w:val="32"/>
          <w:szCs w:val="32"/>
        </w:rPr>
        <w:t>因公出国（境）费支出</w:t>
      </w:r>
      <w:bookmarkEnd w:id="59"/>
      <w:r>
        <w:rPr>
          <w:rFonts w:hint="eastAsia" w:ascii="仿宋_GB2312" w:eastAsia="仿宋_GB2312"/>
          <w:sz w:val="32"/>
          <w:szCs w:val="32"/>
        </w:rPr>
        <w:t>2.83</w:t>
      </w:r>
      <w:r>
        <w:rPr>
          <w:rFonts w:hint="eastAsia" w:ascii="仿宋_GB2312" w:eastAsia="仿宋_GB2312"/>
          <w:color w:val="000000" w:themeColor="text1"/>
          <w:sz w:val="32"/>
          <w:szCs w:val="32"/>
        </w:rPr>
        <w:t>万元，占</w:t>
      </w:r>
      <w:r>
        <w:rPr>
          <w:rFonts w:hint="eastAsia" w:ascii="仿宋_GB2312" w:eastAsia="仿宋_GB2312"/>
          <w:sz w:val="32"/>
          <w:szCs w:val="32"/>
        </w:rPr>
        <w:t>100%，与上年相比增加0万元，增长0%，主要原因是：新增单位，无上年对比数据；</w:t>
      </w:r>
      <w:bookmarkEnd w:id="58"/>
      <w:bookmarkStart w:id="60" w:name="OLE_LINK31"/>
      <w:bookmarkStart w:id="61" w:name="OLE_LINK76"/>
      <w:r>
        <w:rPr>
          <w:rFonts w:hint="eastAsia" w:ascii="仿宋_GB2312" w:eastAsia="仿宋_GB2312"/>
          <w:color w:val="000000" w:themeColor="text1"/>
          <w:sz w:val="32"/>
          <w:szCs w:val="32"/>
        </w:rPr>
        <w:t>公务用车购置及运行维护费支出</w:t>
      </w:r>
      <w:bookmarkEnd w:id="6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0%，与上年相比增加0万元，增长0%，主要原因是：无变化；</w:t>
      </w:r>
      <w:bookmarkEnd w:id="61"/>
      <w:bookmarkStart w:id="62" w:name="OLE_LINK32"/>
      <w:bookmarkStart w:id="63" w:name="OLE_LINK77"/>
      <w:bookmarkStart w:id="64" w:name="OLE_LINK78"/>
      <w:r>
        <w:rPr>
          <w:rFonts w:hint="eastAsia" w:ascii="仿宋_GB2312" w:eastAsia="仿宋_GB2312"/>
          <w:color w:val="000000" w:themeColor="text1"/>
          <w:sz w:val="32"/>
          <w:szCs w:val="32"/>
        </w:rPr>
        <w:t>公务接待费支出</w:t>
      </w:r>
      <w:bookmarkEnd w:id="6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0%，与上年相比增加0万元，增长0%，主要原因是：无变化。</w:t>
      </w:r>
      <w:bookmarkEnd w:id="63"/>
      <w:bookmarkEnd w:id="64"/>
      <w:r>
        <w:rPr>
          <w:rFonts w:hint="eastAsia" w:ascii="仿宋_GB2312" w:eastAsia="仿宋_GB2312"/>
          <w:color w:val="000000" w:themeColor="text1"/>
          <w:sz w:val="32"/>
          <w:szCs w:val="32"/>
        </w:rPr>
        <w:t>具体情况如下：</w:t>
      </w:r>
    </w:p>
    <w:p>
      <w:pPr>
        <w:spacing w:line="540" w:lineRule="exact"/>
        <w:ind w:firstLine="640" w:firstLineChars="200"/>
        <w:rPr>
          <w:rFonts w:ascii="仿宋_GB2312" w:eastAsia="仿宋_GB2312"/>
          <w:color w:val="000000" w:themeColor="text1"/>
          <w:sz w:val="32"/>
          <w:szCs w:val="32"/>
        </w:rPr>
      </w:pPr>
      <w:bookmarkStart w:id="65" w:name="OLE_LINK80"/>
      <w:bookmarkStart w:id="66" w:name="OLE_LINK79"/>
      <w:r>
        <w:rPr>
          <w:rFonts w:hint="eastAsia" w:ascii="仿宋_GB2312" w:eastAsia="仿宋_GB2312"/>
          <w:color w:val="000000" w:themeColor="text1"/>
          <w:sz w:val="32"/>
          <w:szCs w:val="32"/>
        </w:rPr>
        <w:t>因公出国（境）费支出</w:t>
      </w:r>
      <w:r>
        <w:rPr>
          <w:rFonts w:hint="eastAsia" w:ascii="仿宋_GB2312" w:eastAsia="仿宋_GB2312"/>
          <w:sz w:val="32"/>
          <w:szCs w:val="32"/>
        </w:rPr>
        <w:t>2.83</w:t>
      </w:r>
      <w:r>
        <w:rPr>
          <w:rFonts w:hint="eastAsia" w:ascii="仿宋_GB2312" w:eastAsia="仿宋_GB2312"/>
          <w:color w:val="000000" w:themeColor="text1"/>
          <w:sz w:val="32"/>
          <w:szCs w:val="32"/>
        </w:rPr>
        <w:t>万元。</w:t>
      </w:r>
      <w:r>
        <w:rPr>
          <w:rFonts w:hint="eastAsia" w:ascii="仿宋_GB2312" w:eastAsia="仿宋_GB2312"/>
          <w:sz w:val="32"/>
          <w:szCs w:val="32"/>
        </w:rPr>
        <w:t>新疆喀什驻外商贸联络处</w:t>
      </w:r>
      <w:r>
        <w:rPr>
          <w:rFonts w:hint="eastAsia" w:ascii="仿宋_GB2312" w:eastAsia="仿宋_GB2312"/>
          <w:color w:val="000000" w:themeColor="text1"/>
          <w:sz w:val="32"/>
          <w:szCs w:val="32"/>
        </w:rPr>
        <w:t>单位</w:t>
      </w:r>
      <w:bookmarkStart w:id="67" w:name="OLE_LINK33"/>
      <w:r>
        <w:rPr>
          <w:rFonts w:hint="eastAsia" w:ascii="仿宋_GB2312" w:eastAsia="仿宋_GB2312"/>
          <w:color w:val="000000" w:themeColor="text1"/>
          <w:sz w:val="32"/>
          <w:szCs w:val="32"/>
        </w:rPr>
        <w:t>全年</w:t>
      </w:r>
      <w:bookmarkStart w:id="68" w:name="OLE_LINK34"/>
      <w:bookmarkStart w:id="69" w:name="OLE_LINK35"/>
      <w:bookmarkStart w:id="70" w:name="OLE_LINK36"/>
      <w:r>
        <w:rPr>
          <w:rFonts w:hint="eastAsia" w:ascii="仿宋_GB2312" w:eastAsia="仿宋_GB2312"/>
          <w:color w:val="000000" w:themeColor="text1"/>
          <w:sz w:val="32"/>
          <w:szCs w:val="32"/>
        </w:rPr>
        <w:t>使用一般公共预算财政拨款安排的出国（境）团组</w:t>
      </w:r>
      <w:bookmarkEnd w:id="67"/>
      <w:bookmarkEnd w:id="68"/>
      <w:bookmarkEnd w:id="69"/>
      <w:r>
        <w:rPr>
          <w:rFonts w:hint="eastAsia" w:ascii="仿宋_GB2312" w:eastAsia="仿宋_GB2312"/>
          <w:sz w:val="32"/>
          <w:szCs w:val="32"/>
        </w:rPr>
        <w:t>2</w:t>
      </w:r>
      <w:r>
        <w:rPr>
          <w:rFonts w:hint="eastAsia" w:ascii="仿宋_GB2312" w:eastAsia="仿宋_GB2312"/>
          <w:color w:val="000000" w:themeColor="text1"/>
          <w:sz w:val="32"/>
          <w:szCs w:val="32"/>
        </w:rPr>
        <w:t>个</w:t>
      </w:r>
      <w:bookmarkEnd w:id="70"/>
      <w:r>
        <w:rPr>
          <w:rFonts w:hint="eastAsia" w:ascii="仿宋_GB2312" w:eastAsia="仿宋_GB2312"/>
          <w:color w:val="000000" w:themeColor="text1"/>
          <w:sz w:val="32"/>
          <w:szCs w:val="32"/>
        </w:rPr>
        <w:t>，</w:t>
      </w:r>
      <w:bookmarkStart w:id="71" w:name="OLE_LINK37"/>
      <w:r>
        <w:rPr>
          <w:rFonts w:hint="eastAsia" w:ascii="仿宋_GB2312" w:eastAsia="仿宋_GB2312"/>
          <w:color w:val="000000" w:themeColor="text1"/>
          <w:sz w:val="32"/>
          <w:szCs w:val="32"/>
        </w:rPr>
        <w:t>累计</w:t>
      </w:r>
      <w:r>
        <w:rPr>
          <w:rFonts w:hint="eastAsia" w:ascii="仿宋_GB2312" w:eastAsia="仿宋_GB2312"/>
          <w:sz w:val="32"/>
          <w:szCs w:val="32"/>
        </w:rPr>
        <w:t>2</w:t>
      </w:r>
      <w:r>
        <w:rPr>
          <w:rFonts w:hint="eastAsia" w:ascii="仿宋_GB2312" w:eastAsia="仿宋_GB2312"/>
          <w:color w:val="000000" w:themeColor="text1"/>
          <w:sz w:val="32"/>
          <w:szCs w:val="32"/>
        </w:rPr>
        <w:t>人次</w:t>
      </w:r>
      <w:bookmarkEnd w:id="71"/>
      <w:r>
        <w:rPr>
          <w:rFonts w:hint="eastAsia" w:ascii="仿宋_GB2312" w:eastAsia="仿宋_GB2312"/>
          <w:color w:val="000000" w:themeColor="text1"/>
          <w:sz w:val="32"/>
          <w:szCs w:val="32"/>
        </w:rPr>
        <w:t>。</w:t>
      </w:r>
      <w:bookmarkStart w:id="72" w:name="OLE_LINK38"/>
      <w:r>
        <w:rPr>
          <w:rFonts w:hint="eastAsia" w:ascii="仿宋_GB2312" w:eastAsia="仿宋_GB2312"/>
          <w:color w:val="000000" w:themeColor="text1"/>
          <w:sz w:val="32"/>
          <w:szCs w:val="32"/>
        </w:rPr>
        <w:t>开支内容包括：</w:t>
      </w:r>
      <w:r>
        <w:rPr>
          <w:rFonts w:ascii="仿宋_GB2312" w:eastAsia="仿宋_GB2312"/>
          <w:color w:val="000000" w:themeColor="text1"/>
          <w:sz w:val="32"/>
          <w:szCs w:val="32"/>
        </w:rPr>
        <w:t>机票，住宿费，伙食交通补助。</w:t>
      </w:r>
      <w:bookmarkEnd w:id="65"/>
      <w:bookmarkEnd w:id="66"/>
      <w:bookmarkEnd w:id="72"/>
    </w:p>
    <w:p>
      <w:pPr>
        <w:spacing w:line="540" w:lineRule="exact"/>
        <w:ind w:firstLine="640" w:firstLineChars="200"/>
        <w:rPr>
          <w:rFonts w:ascii="仿宋_GB2312" w:eastAsia="仿宋_GB2312"/>
          <w:color w:val="000000" w:themeColor="text1"/>
          <w:sz w:val="32"/>
          <w:szCs w:val="32"/>
        </w:rPr>
      </w:pPr>
      <w:bookmarkStart w:id="73" w:name="OLE_LINK81"/>
      <w:r>
        <w:rPr>
          <w:rFonts w:hint="eastAsia" w:ascii="仿宋_GB2312" w:eastAsia="仿宋_GB2312"/>
          <w:color w:val="000000" w:themeColor="text1"/>
          <w:sz w:val="32"/>
          <w:szCs w:val="32"/>
        </w:rPr>
        <w:t>公务用车购置及运行维护费</w:t>
      </w:r>
      <w:r>
        <w:rPr>
          <w:rFonts w:hint="eastAsia" w:ascii="仿宋_GB2312" w:eastAsia="仿宋_GB2312"/>
          <w:sz w:val="32"/>
          <w:szCs w:val="32"/>
        </w:rPr>
        <w:t>0</w:t>
      </w:r>
      <w:r>
        <w:rPr>
          <w:rFonts w:hint="eastAsia" w:ascii="仿宋_GB2312" w:eastAsia="仿宋_GB2312"/>
          <w:color w:val="000000" w:themeColor="text1"/>
          <w:sz w:val="32"/>
          <w:szCs w:val="32"/>
        </w:rPr>
        <w:t>万元,其中，</w:t>
      </w:r>
      <w:bookmarkStart w:id="74" w:name="OLE_LINK39"/>
      <w:r>
        <w:rPr>
          <w:rFonts w:hint="eastAsia" w:ascii="仿宋_GB2312" w:eastAsia="仿宋_GB2312"/>
          <w:color w:val="000000" w:themeColor="text1"/>
          <w:sz w:val="32"/>
          <w:szCs w:val="32"/>
        </w:rPr>
        <w:t>公务用车购置</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74"/>
      <w:r>
        <w:rPr>
          <w:rFonts w:hint="eastAsia" w:ascii="仿宋_GB2312" w:eastAsia="仿宋_GB2312"/>
          <w:color w:val="000000" w:themeColor="text1"/>
          <w:sz w:val="32"/>
          <w:szCs w:val="32"/>
        </w:rPr>
        <w:t>，</w:t>
      </w:r>
      <w:bookmarkStart w:id="75" w:name="OLE_LINK40"/>
      <w:bookmarkStart w:id="76" w:name="OLE_LINK41"/>
      <w:r>
        <w:rPr>
          <w:rFonts w:hint="eastAsia" w:ascii="仿宋_GB2312" w:eastAsia="仿宋_GB2312"/>
          <w:color w:val="000000" w:themeColor="text1"/>
          <w:sz w:val="32"/>
          <w:szCs w:val="32"/>
        </w:rPr>
        <w:t>公务用车运行维护费</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75"/>
      <w:bookmarkEnd w:id="76"/>
      <w:r>
        <w:rPr>
          <w:rFonts w:hint="eastAsia" w:ascii="仿宋_GB2312" w:eastAsia="仿宋_GB2312"/>
          <w:color w:val="000000" w:themeColor="text1"/>
          <w:sz w:val="32"/>
          <w:szCs w:val="32"/>
        </w:rPr>
        <w:t>。主要用于</w:t>
      </w:r>
      <w:r>
        <w:rPr>
          <w:rFonts w:hint="eastAsia" w:ascii="仿宋_GB2312" w:eastAsia="仿宋_GB2312"/>
          <w:sz w:val="32"/>
          <w:szCs w:val="32"/>
        </w:rPr>
        <w:t>无公务用车购置及运行维护费</w:t>
      </w:r>
      <w:r>
        <w:rPr>
          <w:rFonts w:hint="eastAsia" w:ascii="仿宋_GB2312" w:eastAsia="仿宋_GB2312"/>
          <w:color w:val="000000" w:themeColor="text1"/>
          <w:sz w:val="32"/>
          <w:szCs w:val="32"/>
        </w:rPr>
        <w:t>等。</w:t>
      </w:r>
      <w:bookmarkEnd w:id="73"/>
      <w:bookmarkStart w:id="77" w:name="OLE_LINK82"/>
      <w:r>
        <w:rPr>
          <w:rFonts w:hint="eastAsia" w:ascii="仿宋_GB2312" w:eastAsia="仿宋_GB2312"/>
          <w:color w:val="000000" w:themeColor="text1"/>
          <w:sz w:val="32"/>
          <w:szCs w:val="32"/>
        </w:rPr>
        <w:t>单位一般公共财政拨款安排的公务用车购置量</w:t>
      </w:r>
      <w:r>
        <w:rPr>
          <w:rFonts w:hint="eastAsia" w:ascii="仿宋_GB2312" w:eastAsia="仿宋_GB2312"/>
          <w:sz w:val="32"/>
          <w:szCs w:val="32"/>
        </w:rPr>
        <w:t>0</w:t>
      </w:r>
      <w:r>
        <w:rPr>
          <w:rFonts w:hint="eastAsia" w:ascii="仿宋_GB2312" w:eastAsia="仿宋_GB2312"/>
          <w:color w:val="000000" w:themeColor="text1"/>
          <w:sz w:val="32"/>
          <w:szCs w:val="32"/>
        </w:rPr>
        <w:t>辆，保有量为</w:t>
      </w:r>
      <w:r>
        <w:rPr>
          <w:rFonts w:hint="eastAsia" w:ascii="仿宋_GB2312" w:eastAsia="仿宋_GB2312"/>
          <w:sz w:val="32"/>
          <w:szCs w:val="32"/>
        </w:rPr>
        <w:t>0</w:t>
      </w:r>
      <w:r>
        <w:rPr>
          <w:rFonts w:hint="eastAsia" w:ascii="仿宋_GB2312" w:eastAsia="仿宋_GB2312"/>
          <w:color w:val="000000" w:themeColor="text1"/>
          <w:sz w:val="32"/>
          <w:szCs w:val="32"/>
        </w:rPr>
        <w:t>辆。</w:t>
      </w:r>
      <w:bookmarkEnd w:id="77"/>
    </w:p>
    <w:p>
      <w:pPr>
        <w:spacing w:line="540" w:lineRule="exact"/>
        <w:ind w:firstLine="640" w:firstLineChars="200"/>
        <w:rPr>
          <w:rFonts w:ascii="仿宋_GB2312" w:eastAsia="仿宋_GB2312"/>
          <w:color w:val="000000" w:themeColor="text1"/>
          <w:sz w:val="32"/>
          <w:szCs w:val="32"/>
        </w:rPr>
      </w:pPr>
      <w:bookmarkStart w:id="78" w:name="OLE_LINK83"/>
      <w:r>
        <w:rPr>
          <w:rFonts w:hint="eastAsia" w:ascii="仿宋_GB2312" w:eastAsia="仿宋_GB2312"/>
          <w:color w:val="000000" w:themeColor="text1"/>
          <w:sz w:val="32"/>
          <w:szCs w:val="32"/>
        </w:rPr>
        <w:t>公务接待费</w:t>
      </w:r>
      <w:r>
        <w:rPr>
          <w:rFonts w:hint="eastAsia" w:ascii="仿宋_GB2312" w:eastAsia="仿宋_GB2312"/>
          <w:sz w:val="32"/>
          <w:szCs w:val="32"/>
        </w:rPr>
        <w:t>0</w:t>
      </w:r>
      <w:r>
        <w:rPr>
          <w:rFonts w:hint="eastAsia" w:ascii="仿宋_GB2312" w:eastAsia="仿宋_GB2312"/>
          <w:color w:val="000000" w:themeColor="text1"/>
          <w:sz w:val="32"/>
          <w:szCs w:val="32"/>
        </w:rPr>
        <w:t>万元。具体是：国内公务接待支出</w:t>
      </w:r>
      <w:r>
        <w:rPr>
          <w:rFonts w:hint="eastAsia" w:ascii="仿宋_GB2312" w:eastAsia="仿宋_GB2312"/>
          <w:sz w:val="32"/>
          <w:szCs w:val="32"/>
        </w:rPr>
        <w:t>0</w:t>
      </w:r>
      <w:r>
        <w:rPr>
          <w:rFonts w:hint="eastAsia" w:ascii="仿宋_GB2312" w:eastAsia="仿宋_GB2312"/>
          <w:color w:val="000000" w:themeColor="text1"/>
          <w:sz w:val="32"/>
          <w:szCs w:val="32"/>
        </w:rPr>
        <w:t>万元，主要是</w:t>
      </w:r>
      <w:r>
        <w:rPr>
          <w:rFonts w:hint="eastAsia" w:ascii="仿宋_GB2312" w:eastAsia="仿宋_GB2312"/>
          <w:sz w:val="32"/>
          <w:szCs w:val="32"/>
        </w:rPr>
        <w:t>无公务接待费</w:t>
      </w:r>
      <w:r>
        <w:rPr>
          <w:rFonts w:hint="eastAsia" w:ascii="仿宋_GB2312" w:eastAsia="仿宋_GB2312"/>
          <w:color w:val="000000" w:themeColor="text1"/>
          <w:sz w:val="32"/>
          <w:szCs w:val="32"/>
        </w:rPr>
        <w:t>等。</w:t>
      </w:r>
      <w:bookmarkEnd w:id="78"/>
      <w:bookmarkStart w:id="79" w:name="OLE_LINK84"/>
      <w:r>
        <w:rPr>
          <w:rFonts w:hint="eastAsia" w:ascii="仿宋_GB2312" w:eastAsia="仿宋_GB2312"/>
          <w:sz w:val="32"/>
          <w:szCs w:val="32"/>
        </w:rPr>
        <w:t>新疆喀什驻外商贸联络处</w:t>
      </w:r>
      <w:r>
        <w:rPr>
          <w:rFonts w:hint="eastAsia" w:ascii="仿宋_GB2312" w:eastAsia="仿宋_GB2312"/>
          <w:color w:val="000000" w:themeColor="text1"/>
          <w:sz w:val="32"/>
          <w:szCs w:val="32"/>
        </w:rPr>
        <w:t>单位国内公务接待</w:t>
      </w:r>
      <w:r>
        <w:rPr>
          <w:rFonts w:hint="eastAsia" w:ascii="仿宋_GB2312" w:eastAsia="仿宋_GB2312"/>
          <w:sz w:val="32"/>
          <w:szCs w:val="32"/>
        </w:rPr>
        <w:t>0</w:t>
      </w:r>
      <w:r>
        <w:rPr>
          <w:rFonts w:hint="eastAsia" w:ascii="仿宋_GB2312" w:eastAsia="仿宋_GB2312"/>
          <w:color w:val="000000" w:themeColor="text1"/>
          <w:sz w:val="32"/>
          <w:szCs w:val="32"/>
        </w:rPr>
        <w:t>批次，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9"/>
    </w:p>
    <w:p>
      <w:pPr>
        <w:spacing w:line="540" w:lineRule="exact"/>
        <w:ind w:firstLine="640" w:firstLineChars="200"/>
        <w:rPr>
          <w:rFonts w:ascii="仿宋_GB2312" w:hAnsi="宋体" w:eastAsia="仿宋_GB2312" w:cs="宋体"/>
          <w:color w:val="000000" w:themeColor="text1"/>
          <w:kern w:val="0"/>
          <w:sz w:val="32"/>
          <w:szCs w:val="32"/>
        </w:rPr>
      </w:pPr>
      <w:bookmarkStart w:id="80" w:name="OLE_LINK85"/>
      <w:r>
        <w:rPr>
          <w:rFonts w:hint="eastAsia" w:ascii="仿宋_GB2312" w:eastAsia="仿宋_GB2312"/>
          <w:color w:val="000000" w:themeColor="text1"/>
          <w:sz w:val="32"/>
          <w:szCs w:val="32"/>
        </w:rPr>
        <w:t>与年初预算数相比情况：一般公共预算“三公”经费支出年初预算数</w:t>
      </w:r>
      <w:r>
        <w:rPr>
          <w:rFonts w:ascii="仿宋_GB2312" w:eastAsia="仿宋_GB2312"/>
          <w:color w:val="000000" w:themeColor="text1"/>
          <w:sz w:val="32"/>
          <w:szCs w:val="32"/>
        </w:rPr>
        <w:t>2.83</w:t>
      </w:r>
      <w:r>
        <w:rPr>
          <w:rFonts w:hint="eastAsia" w:ascii="仿宋_GB2312" w:eastAsia="仿宋_GB2312"/>
          <w:color w:val="000000" w:themeColor="text1"/>
          <w:sz w:val="32"/>
          <w:szCs w:val="32"/>
        </w:rPr>
        <w:t>万元，决算数2.83万元</w:t>
      </w:r>
      <w:r>
        <w:rPr>
          <w:rFonts w:ascii="仿宋_GB2312" w:eastAsia="仿宋_GB2312"/>
          <w:color w:val="000000" w:themeColor="text1"/>
          <w:sz w:val="32"/>
          <w:szCs w:val="32"/>
        </w:rPr>
        <w:t>，预决算差异率0%，差异主要原因是:无差异。</w:t>
      </w:r>
      <w:bookmarkEnd w:id="80"/>
      <w:bookmarkStart w:id="81" w:name="OLE_LINK87"/>
      <w:bookmarkStart w:id="82" w:name="OLE_LINK86"/>
      <w:r>
        <w:rPr>
          <w:rFonts w:hint="eastAsia" w:ascii="仿宋_GB2312" w:hAnsi="宋体" w:eastAsia="仿宋_GB2312" w:cs="宋体"/>
          <w:color w:val="000000" w:themeColor="text1"/>
          <w:kern w:val="0"/>
          <w:sz w:val="32"/>
          <w:szCs w:val="32"/>
        </w:rPr>
        <w:t>其中：因公出国（境）费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2.83</w:t>
      </w:r>
      <w:r>
        <w:rPr>
          <w:rFonts w:hint="eastAsia" w:ascii="仿宋_GB2312" w:eastAsia="仿宋_GB2312"/>
          <w:color w:val="000000" w:themeColor="text1"/>
          <w:sz w:val="32"/>
          <w:szCs w:val="32"/>
        </w:rPr>
        <w:t>万元，决算数2.83万元</w:t>
      </w:r>
      <w:r>
        <w:rPr>
          <w:rFonts w:ascii="仿宋_GB2312" w:eastAsia="仿宋_GB2312"/>
          <w:color w:val="000000" w:themeColor="text1"/>
          <w:sz w:val="32"/>
          <w:szCs w:val="32"/>
        </w:rPr>
        <w:t>，预决算差异率0%，差异主要原因是:无差异；</w:t>
      </w:r>
      <w:bookmarkEnd w:id="81"/>
      <w:bookmarkEnd w:id="82"/>
      <w:bookmarkStart w:id="83" w:name="OLE_LINK88"/>
      <w:bookmarkStart w:id="84" w:name="OLE_LINK89"/>
      <w:r>
        <w:rPr>
          <w:rFonts w:hint="eastAsia" w:ascii="仿宋_GB2312" w:hAnsi="宋体" w:eastAsia="仿宋_GB2312" w:cs="宋体"/>
          <w:color w:val="000000" w:themeColor="text1"/>
          <w:kern w:val="0"/>
          <w:sz w:val="32"/>
          <w:szCs w:val="32"/>
        </w:rPr>
        <w:t>公务用车购置</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，预决算差异率0%，差异主要原因是:无差异；</w:t>
      </w:r>
      <w:bookmarkEnd w:id="83"/>
      <w:bookmarkEnd w:id="84"/>
      <w:bookmarkStart w:id="85" w:name="OLE_LINK90"/>
      <w:r>
        <w:rPr>
          <w:rFonts w:hint="eastAsia" w:ascii="仿宋_GB2312" w:hAnsi="宋体" w:eastAsia="仿宋_GB2312" w:cs="宋体"/>
          <w:color w:val="000000" w:themeColor="text1"/>
          <w:kern w:val="0"/>
          <w:sz w:val="32"/>
          <w:szCs w:val="32"/>
        </w:rPr>
        <w:t>公务用车运行费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，预决算差异率0%，差异主要原因是:无差异；</w:t>
      </w:r>
      <w:bookmarkEnd w:id="85"/>
      <w:bookmarkStart w:id="86" w:name="OLE_LINK91"/>
      <w:r>
        <w:rPr>
          <w:rFonts w:hint="eastAsia" w:ascii="仿宋_GB2312" w:hAnsi="宋体" w:eastAsia="仿宋_GB2312" w:cs="宋体"/>
          <w:color w:val="000000" w:themeColor="text1"/>
          <w:kern w:val="0"/>
          <w:sz w:val="32"/>
          <w:szCs w:val="32"/>
        </w:rPr>
        <w:t>公务接待费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w:t>
      </w:r>
      <w:bookmarkEnd w:id="86"/>
      <w:r>
        <w:rPr>
          <w:rFonts w:ascii="仿宋_GB2312" w:eastAsia="仿宋_GB2312"/>
          <w:color w:val="000000" w:themeColor="text1"/>
          <w:sz w:val="32"/>
          <w:szCs w:val="32"/>
        </w:rPr>
        <w:t>无差异。</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新疆喀什驻外商贸联络处日常公用经费6.7万元，与上年相比增加0万元，增长0%，主要原因是：新增单位，无上年对比数据。</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六、政府采购情况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w:t>
      </w:r>
      <w:bookmarkStart w:id="87" w:name="OLE_LINK45"/>
      <w:r>
        <w:rPr>
          <w:rFonts w:hint="eastAsia" w:ascii="仿宋_GB2312" w:eastAsia="仿宋_GB2312"/>
          <w:color w:val="000000" w:themeColor="text1"/>
          <w:sz w:val="32"/>
          <w:szCs w:val="32"/>
        </w:rPr>
        <w:t>政府采购支出总额</w:t>
      </w:r>
      <w:bookmarkEnd w:id="87"/>
      <w:r>
        <w:rPr>
          <w:rFonts w:hint="eastAsia" w:ascii="仿宋_GB2312" w:eastAsia="仿宋_GB2312"/>
          <w:sz w:val="32"/>
          <w:szCs w:val="32"/>
        </w:rPr>
        <w:t>0</w:t>
      </w:r>
      <w:r>
        <w:rPr>
          <w:rFonts w:hint="eastAsia" w:ascii="仿宋_GB2312" w:eastAsia="仿宋_GB2312"/>
          <w:color w:val="000000" w:themeColor="text1"/>
          <w:sz w:val="32"/>
          <w:szCs w:val="32"/>
        </w:rPr>
        <w:t>万元，其中：</w:t>
      </w:r>
      <w:bookmarkStart w:id="88" w:name="OLE_LINK46"/>
      <w:r>
        <w:rPr>
          <w:rFonts w:hint="eastAsia" w:ascii="仿宋_GB2312" w:eastAsia="仿宋_GB2312"/>
          <w:color w:val="000000" w:themeColor="text1"/>
          <w:sz w:val="32"/>
          <w:szCs w:val="32"/>
        </w:rPr>
        <w:t>政府采购货物支出</w:t>
      </w:r>
      <w:bookmarkEnd w:id="88"/>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89" w:name="OLE_LINK47"/>
      <w:r>
        <w:rPr>
          <w:rFonts w:hint="eastAsia" w:ascii="仿宋_GB2312" w:eastAsia="仿宋_GB2312"/>
          <w:color w:val="000000" w:themeColor="text1"/>
          <w:sz w:val="32"/>
          <w:szCs w:val="32"/>
        </w:rPr>
        <w:t>政府采购工程支出</w:t>
      </w:r>
      <w:bookmarkEnd w:id="89"/>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90" w:name="OLE_LINK48"/>
      <w:r>
        <w:rPr>
          <w:rFonts w:hint="eastAsia" w:ascii="仿宋_GB2312" w:eastAsia="仿宋_GB2312"/>
          <w:color w:val="000000" w:themeColor="text1"/>
          <w:sz w:val="32"/>
          <w:szCs w:val="32"/>
        </w:rPr>
        <w:t>政府采购服务支出</w:t>
      </w:r>
      <w:bookmarkEnd w:id="90"/>
      <w:r>
        <w:rPr>
          <w:rFonts w:hint="eastAsia" w:ascii="仿宋_GB2312" w:eastAsia="仿宋_GB2312"/>
          <w:sz w:val="32"/>
          <w:szCs w:val="32"/>
        </w:rPr>
        <w:t>0</w:t>
      </w:r>
      <w:r>
        <w:rPr>
          <w:rFonts w:hint="eastAsia" w:ascii="仿宋_GB2312" w:eastAsia="仿宋_GB2312"/>
          <w:color w:val="000000" w:themeColor="text1"/>
          <w:sz w:val="32"/>
          <w:szCs w:val="32"/>
        </w:rPr>
        <w:t>万元。</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七、其他重要事项的情况</w:t>
      </w:r>
    </w:p>
    <w:p>
      <w:pPr>
        <w:spacing w:line="540" w:lineRule="exact"/>
        <w:ind w:firstLine="643" w:firstLineChars="200"/>
        <w:rPr>
          <w:rFonts w:ascii="楷体_GB2312" w:eastAsia="楷体_GB2312"/>
          <w:b/>
          <w:bCs/>
          <w:color w:val="000000" w:themeColor="text1"/>
          <w:sz w:val="32"/>
          <w:szCs w:val="32"/>
        </w:rPr>
      </w:pPr>
      <w:r>
        <w:rPr>
          <w:rFonts w:hint="eastAsia" w:ascii="楷体_GB2312" w:eastAsia="楷体_GB2312"/>
          <w:b/>
          <w:bCs/>
          <w:color w:val="000000" w:themeColor="text1"/>
          <w:sz w:val="32"/>
          <w:szCs w:val="32"/>
        </w:rPr>
        <w:t>（一）国有资产占用情况说明</w:t>
      </w:r>
    </w:p>
    <w:p>
      <w:pPr>
        <w:spacing w:line="540" w:lineRule="exact"/>
        <w:ind w:firstLine="640" w:firstLineChars="200"/>
        <w:rPr>
          <w:rFonts w:ascii="仿宋_GB2312" w:eastAsia="仿宋_GB2312"/>
          <w:color w:val="000000" w:themeColor="text1"/>
          <w:sz w:val="32"/>
          <w:szCs w:val="32"/>
        </w:rPr>
      </w:pPr>
      <w:bookmarkStart w:id="91" w:name="OLE_LINK97"/>
      <w:r>
        <w:rPr>
          <w:rFonts w:hint="eastAsia" w:ascii="仿宋_GB2312" w:eastAsia="仿宋_GB2312"/>
          <w:color w:val="000000" w:themeColor="text1"/>
          <w:sz w:val="32"/>
          <w:szCs w:val="32"/>
        </w:rPr>
        <w:t>截至2018年12月31日，单位共有车辆</w:t>
      </w:r>
      <w:r>
        <w:rPr>
          <w:rFonts w:hint="eastAsia" w:ascii="仿宋_GB2312" w:eastAsia="仿宋_GB2312"/>
          <w:sz w:val="32"/>
          <w:szCs w:val="32"/>
        </w:rPr>
        <w:t>0</w:t>
      </w:r>
      <w:r>
        <w:rPr>
          <w:rFonts w:hint="eastAsia" w:ascii="仿宋_GB2312" w:eastAsia="仿宋_GB2312"/>
          <w:color w:val="000000" w:themeColor="text1"/>
          <w:sz w:val="32"/>
          <w:szCs w:val="32"/>
        </w:rPr>
        <w:t>辆，价值</w:t>
      </w:r>
      <w:r>
        <w:rPr>
          <w:rFonts w:hint="eastAsia" w:ascii="仿宋_GB2312" w:eastAsia="仿宋_GB2312"/>
          <w:sz w:val="32"/>
          <w:szCs w:val="32"/>
        </w:rPr>
        <w:t>0</w:t>
      </w:r>
      <w:r>
        <w:rPr>
          <w:rFonts w:hint="eastAsia" w:ascii="仿宋_GB2312" w:eastAsia="仿宋_GB2312"/>
          <w:color w:val="000000" w:themeColor="text1"/>
          <w:sz w:val="32"/>
          <w:szCs w:val="32"/>
        </w:rPr>
        <w:t>万元，其中：部级领导干部用车</w:t>
      </w:r>
      <w:r>
        <w:rPr>
          <w:rFonts w:hint="eastAsia" w:ascii="仿宋_GB2312" w:eastAsia="仿宋_GB2312"/>
          <w:sz w:val="32"/>
          <w:szCs w:val="32"/>
        </w:rPr>
        <w:t>0</w:t>
      </w:r>
      <w:r>
        <w:rPr>
          <w:rFonts w:hint="eastAsia" w:ascii="仿宋_GB2312" w:eastAsia="仿宋_GB2312"/>
          <w:color w:val="000000" w:themeColor="text1"/>
          <w:sz w:val="32"/>
          <w:szCs w:val="32"/>
        </w:rPr>
        <w:t>辆、主要领导干部用车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辆、机要通信用车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辆、应急保障用车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辆、执法执勤用车</w:t>
      </w:r>
      <w:r>
        <w:rPr>
          <w:rFonts w:hint="eastAsia" w:ascii="仿宋_GB2312" w:eastAsia="仿宋_GB2312"/>
          <w:sz w:val="32"/>
          <w:szCs w:val="32"/>
        </w:rPr>
        <w:t>0</w:t>
      </w:r>
      <w:r>
        <w:rPr>
          <w:rFonts w:hint="eastAsia" w:ascii="仿宋_GB2312" w:eastAsia="仿宋_GB2312"/>
          <w:color w:val="000000" w:themeColor="text1"/>
          <w:sz w:val="32"/>
          <w:szCs w:val="32"/>
        </w:rPr>
        <w:t>辆、特种专业技术用车</w:t>
      </w:r>
      <w:r>
        <w:rPr>
          <w:rFonts w:hint="eastAsia" w:ascii="仿宋_GB2312" w:eastAsia="仿宋_GB2312"/>
          <w:sz w:val="32"/>
          <w:szCs w:val="32"/>
        </w:rPr>
        <w:t>0</w:t>
      </w:r>
      <w:r>
        <w:rPr>
          <w:rFonts w:hint="eastAsia" w:ascii="仿宋_GB2312" w:eastAsia="仿宋_GB2312"/>
          <w:color w:val="000000" w:themeColor="text1"/>
          <w:sz w:val="32"/>
          <w:szCs w:val="32"/>
        </w:rPr>
        <w:t>辆、离退休干部用车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辆，其他用车主要是：</w:t>
      </w:r>
      <w:r>
        <w:rPr>
          <w:rFonts w:ascii="仿宋_GB2312" w:eastAsia="仿宋_GB2312"/>
          <w:color w:val="000000" w:themeColor="text1"/>
          <w:sz w:val="32"/>
          <w:szCs w:val="32"/>
        </w:rPr>
        <w:t>无其他用车；</w:t>
      </w:r>
      <w:r>
        <w:rPr>
          <w:rFonts w:hint="eastAsia" w:ascii="仿宋_GB2312" w:eastAsia="仿宋_GB2312"/>
          <w:color w:val="000000" w:themeColor="text1"/>
          <w:sz w:val="32"/>
          <w:szCs w:val="32"/>
        </w:rPr>
        <w:t>单位价值50万元以上通用设备</w:t>
      </w:r>
      <w:r>
        <w:rPr>
          <w:rFonts w:hint="eastAsia" w:ascii="仿宋_GB2312" w:eastAsia="仿宋_GB2312"/>
          <w:sz w:val="32"/>
          <w:szCs w:val="32"/>
        </w:rPr>
        <w:t>0</w:t>
      </w:r>
      <w:r>
        <w:rPr>
          <w:rFonts w:hint="eastAsia" w:ascii="仿宋_GB2312" w:eastAsia="仿宋_GB2312"/>
          <w:color w:val="000000" w:themeColor="text1"/>
          <w:sz w:val="32"/>
          <w:szCs w:val="32"/>
        </w:rPr>
        <w:t>台（套）、单位价值100万元以上专用设备</w:t>
      </w:r>
      <w:r>
        <w:rPr>
          <w:rFonts w:hint="eastAsia" w:ascii="仿宋_GB2312" w:eastAsia="仿宋_GB2312"/>
          <w:sz w:val="32"/>
          <w:szCs w:val="32"/>
        </w:rPr>
        <w:t>0</w:t>
      </w:r>
      <w:r>
        <w:rPr>
          <w:rFonts w:hint="eastAsia" w:ascii="仿宋_GB2312" w:eastAsia="仿宋_GB2312"/>
          <w:color w:val="000000" w:themeColor="text1"/>
          <w:sz w:val="32"/>
          <w:szCs w:val="32"/>
        </w:rPr>
        <w:t>台（套）。</w:t>
      </w:r>
      <w:bookmarkEnd w:id="91"/>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2018年度，本部门单位预算绩效自评情况：</w:t>
      </w:r>
      <w:r>
        <w:rPr>
          <w:rFonts w:ascii="仿宋_GB2312" w:eastAsia="仿宋_GB2312"/>
          <w:sz w:val="32"/>
          <w:szCs w:val="32"/>
        </w:rPr>
        <w:t>本单位自开预算绩效管理和绩效目标工作以来，我单位领导高度重视此项工作，并给予了大力支持，本单位在一些制度建设方面有些欠缺，有待于进一步提高和完善。绩效目标工作方面，我单位按照财政部门的相关要求积极及时上报绩效目标表及</w:t>
      </w:r>
      <w:r>
        <w:rPr>
          <w:rFonts w:hint="eastAsia" w:ascii="仿宋_GB2312" w:eastAsia="仿宋_GB2312"/>
          <w:sz w:val="32"/>
          <w:szCs w:val="32"/>
          <w:lang w:eastAsia="zh-CN"/>
        </w:rPr>
        <w:t>跟踪</w:t>
      </w:r>
      <w:r>
        <w:rPr>
          <w:rFonts w:ascii="仿宋_GB2312" w:eastAsia="仿宋_GB2312"/>
          <w:sz w:val="32"/>
          <w:szCs w:val="32"/>
        </w:rPr>
        <w:t>表，通过此项工作本单位的资金使用效益和使用质量明显提高了。</w:t>
      </w:r>
    </w:p>
    <w:p>
      <w:pPr>
        <w:spacing w:line="540" w:lineRule="exact"/>
        <w:ind w:right="-1" w:firstLine="640" w:firstLineChars="200"/>
        <w:jc w:val="left"/>
      </w:pPr>
      <w:r>
        <w:rPr>
          <w:rFonts w:ascii="仿宋_GB2312" w:hAnsi="仿宋_GB2312" w:eastAsia="仿宋_GB2312" w:cs="仿宋_GB2312"/>
          <w:color w:val="000000"/>
          <w:sz w:val="32"/>
        </w:rPr>
        <w:t xml:space="preserve">1、比什凯克、伊斯兰堡、杜尚别3个商贸工作站因公出国人员差费　项目绩效自评综述：根据年初设定的绩效目标，该项目绩效自评得分为86分。项目全年预算数为12.6万元，执行数为0万元，完成预算的0%。主要产出和效果：预计每个工作站派驻2名工作人员，3个境外商贸工作站6名工作人员需定期出国轮岗，每人每年出差费、国内外交通费、出入境手续费等21000元，共计126000元。宣传推介我区优惠政策、名优特产品、对外经济合作项目等信息；发挥沟通联络和窗口作用，为国内外客商提供政策、业务咨询服务等确保工作正常开展。发现的问题及原因：由于自治区驻外办对因公出国人员指标的严格限制，导至工作人员应出而出不去，外商想入住喀什进不来急需补充工作人员 ，重视人才培养；开发区与自治区驻外办对接解决因公出国人员指标问题。下一步改进措施： 加强项目可行性研究和预算管理；加强对社会大环境的把控。  </w:t>
      </w:r>
    </w:p>
    <w:p>
      <w:pPr>
        <w:spacing w:line="540" w:lineRule="exact"/>
        <w:ind w:right="-1" w:firstLine="640" w:firstLineChars="200"/>
        <w:jc w:val="left"/>
      </w:pPr>
      <w:r>
        <w:rPr>
          <w:rFonts w:ascii="仿宋_GB2312" w:hAnsi="仿宋_GB2312" w:eastAsia="仿宋_GB2312" w:cs="仿宋_GB2312"/>
          <w:color w:val="000000"/>
          <w:sz w:val="32"/>
        </w:rPr>
        <w:t xml:space="preserve">2、巴基斯坦伊斯兰堡商贸工作站办公场所租赁　项目绩效自评综述：根据年初设定的绩效目标，该项目绩效自评得分为87分。项目全年预算数为17.99万元，执行数为17.99万元，完成预算的100%。主要产出和效果：综合服务能力提升，加强宣传。发现的问题及原因：急需工作人员，因公出过指标不充足。下一步改进措施： 重视人才培养，解决因公出国指标。  </w:t>
      </w:r>
    </w:p>
    <w:p>
      <w:pPr>
        <w:spacing w:line="540" w:lineRule="exact"/>
        <w:ind w:right="-1" w:firstLine="640" w:firstLineChars="200"/>
        <w:jc w:val="left"/>
      </w:pPr>
      <w:r>
        <w:rPr>
          <w:rFonts w:ascii="仿宋_GB2312" w:hAnsi="仿宋_GB2312" w:eastAsia="仿宋_GB2312" w:cs="仿宋_GB2312"/>
          <w:color w:val="000000"/>
          <w:sz w:val="32"/>
        </w:rPr>
        <w:t xml:space="preserve">3、更换比什凯克商贸工作站上下水管道及线路维修项目绩效自评综述：根据年初设定的绩效目标，该项目绩效自评得分为65分。项目全年预算数为15万元，执行数为0万元，完成预算的0%。主要产出和效果：比什凯克商贸工作站房屋面积602平方米，24个房间，更换上下水管道及电路维修，避免安全隐患，确保喀什驻外商贸联络处全盘工作得以正常开展。发现的问题及原因：因工作人员受到出入境指标限制，始终无法出入境，项目未执行，从而使此项目无限期搁浅。下一步改进措施： 由于该项目未实施，从而未进行跟踪管理。  </w:t>
      </w:r>
    </w:p>
    <w:p>
      <w:pPr>
        <w:spacing w:line="540" w:lineRule="exact"/>
        <w:ind w:firstLine="640" w:firstLineChars="200"/>
        <w:rPr>
          <w:rFonts w:ascii="仿宋_GB2312" w:eastAsia="仿宋_GB2312"/>
          <w:sz w:val="32"/>
          <w:szCs w:val="32"/>
        </w:rPr>
      </w:pPr>
      <w:r>
        <w:rPr>
          <w:rFonts w:ascii="仿宋_GB2312" w:eastAsia="仿宋_GB2312"/>
          <w:sz w:val="32"/>
          <w:szCs w:val="32"/>
        </w:rPr>
        <w:t>有关项目自评情况可附项目支出绩效自评表。</w:t>
      </w:r>
    </w:p>
    <w:p>
      <w:pPr>
        <w:spacing w:line="540" w:lineRule="exact"/>
        <w:jc w:val="center"/>
        <w:rPr>
          <w:rFonts w:ascii="黑体" w:hAnsi="黑体" w:eastAsia="黑体"/>
          <w:sz w:val="32"/>
          <w:szCs w:val="32"/>
        </w:rPr>
      </w:pPr>
      <w:r>
        <w:rPr>
          <w:rFonts w:hint="eastAsia" w:ascii="黑体" w:hAnsi="黑体" w:eastAsia="黑体"/>
          <w:sz w:val="32"/>
          <w:szCs w:val="32"/>
        </w:rPr>
        <w:t>第三部分 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000000" w:themeColor="text1"/>
          <w:sz w:val="32"/>
          <w:szCs w:val="32"/>
          <w:lang w:val="en-GB"/>
        </w:rPr>
      </w:pPr>
      <w:r>
        <w:rPr>
          <w:rFonts w:hint="eastAsia" w:ascii="仿宋_GB2312" w:eastAsia="仿宋_GB2312"/>
          <w:color w:val="000000" w:themeColor="text1"/>
          <w:sz w:val="32"/>
          <w:szCs w:val="32"/>
        </w:rPr>
        <w:t>本单位支出功能分类说明</w:t>
      </w:r>
      <w:r>
        <w:rPr>
          <w:rFonts w:hint="eastAsia" w:ascii="仿宋_GB2312" w:hAnsi="Calibri" w:eastAsia="仿宋_GB2312"/>
          <w:color w:val="000000" w:themeColor="text1"/>
          <w:sz w:val="32"/>
          <w:szCs w:val="32"/>
          <w:lang w:val="en-GB"/>
        </w:rPr>
        <w:t>。</w:t>
      </w:r>
      <w:r>
        <w:rPr>
          <w:rFonts w:hint="eastAsia" w:ascii="仿宋_GB2312" w:eastAsia="仿宋_GB2312"/>
          <w:sz w:val="32"/>
          <w:szCs w:val="32"/>
        </w:rPr>
        <w:t>221（类）02（款）01（项）指：住房公积金。201（类）35（款）50（项）指：事业运行。201（类）35（款）99（项）指：其他对外联络事务支出。208（类）05（款）05（项）指：机关事业单位基本养老保险缴费支出。</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40" w:lineRule="exact"/>
        <w:ind w:firstLine="643" w:firstLineChars="200"/>
        <w:rPr>
          <w:rFonts w:ascii="仿宋_GB2312" w:eastAsia="仿宋_GB2312"/>
          <w:b/>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第四部分 部门决算公开的8张报表（见附表）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firstLine="640" w:firstLineChars="200"/>
        <w:rPr>
          <w:rFonts w:ascii="仿宋_GB2312" w:eastAsia="仿宋_GB2312"/>
          <w:sz w:val="32"/>
          <w:szCs w:val="32"/>
        </w:rPr>
        <w:sectPr>
          <w:footerReference r:id="rId3" w:type="default"/>
          <w:footerReference r:id="rId4" w:type="even"/>
          <w:pgSz w:w="11906" w:h="16838"/>
          <w:pgMar w:top="2041" w:right="1276" w:bottom="2041" w:left="1276" w:header="851" w:footer="1814" w:gutter="0"/>
          <w:pgNumType w:fmt="numberInDash"/>
          <w:cols w:space="425" w:num="1"/>
          <w:docGrid w:type="lines" w:linePitch="435" w:charSpace="-1675"/>
        </w:sect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540" w:lineRule="exact"/>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小标宋_GBK">
    <w:altName w:val="Arial Unicode MS"/>
    <w:panose1 w:val="03000509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9631" w:y="37"/>
      <w:jc w:val="right"/>
      <w:rPr>
        <w:rStyle w:val="9"/>
        <w:rFonts w:ascii="宋体" w:hAnsi="宋体" w:eastAsia="宋体"/>
        <w:sz w:val="28"/>
      </w:rPr>
    </w:pPr>
    <w:r>
      <w:rPr>
        <w:rStyle w:val="9"/>
        <w:rFonts w:ascii="宋体" w:hAnsi="宋体" w:eastAsia="宋体"/>
        <w:sz w:val="28"/>
      </w:rPr>
      <w:fldChar w:fldCharType="begin"/>
    </w:r>
    <w:r>
      <w:rPr>
        <w:rStyle w:val="9"/>
        <w:rFonts w:ascii="宋体" w:hAnsi="宋体" w:eastAsia="宋体"/>
        <w:sz w:val="28"/>
      </w:rPr>
      <w:instrText xml:space="preserve"> PAGE </w:instrText>
    </w:r>
    <w:r>
      <w:rPr>
        <w:rStyle w:val="9"/>
        <w:rFonts w:ascii="宋体" w:hAnsi="宋体" w:eastAsia="宋体"/>
        <w:sz w:val="28"/>
      </w:rPr>
      <w:fldChar w:fldCharType="separate"/>
    </w:r>
    <w:r>
      <w:rPr>
        <w:rStyle w:val="9"/>
        <w:rFonts w:ascii="宋体" w:hAnsi="宋体" w:eastAsia="宋体"/>
        <w:sz w:val="28"/>
      </w:rPr>
      <w:t>- 9 -</w:t>
    </w:r>
    <w:r>
      <w:rPr>
        <w:rStyle w:val="9"/>
        <w:rFonts w:ascii="宋体" w:hAnsi="宋体" w:eastAsia="宋体"/>
        <w:sz w:val="28"/>
      </w:rPr>
      <w:fldChar w:fldCharType="end"/>
    </w:r>
    <w:r>
      <w:rPr>
        <w:rStyle w:val="9"/>
        <w:rFonts w:hint="eastAsia" w:ascii="宋体" w:hAnsi="宋体" w:eastAsia="宋体"/>
        <w:sz w:val="28"/>
      </w:rPr>
      <w:t xml:space="preserve"> </w:t>
    </w:r>
  </w:p>
  <w:p>
    <w:pPr>
      <w:pStyle w:val="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1756" w:y="37"/>
      <w:rPr>
        <w:rStyle w:val="9"/>
        <w:rFonts w:ascii="宋体" w:hAnsi="宋体" w:eastAsia="宋体"/>
        <w:sz w:val="28"/>
        <w:szCs w:val="28"/>
      </w:rPr>
    </w:pPr>
    <w:r>
      <w:rPr>
        <w:rStyle w:val="9"/>
        <w:rFonts w:ascii="宋体" w:hAnsi="宋体" w:eastAsia="宋体"/>
        <w:sz w:val="28"/>
        <w:szCs w:val="28"/>
      </w:rPr>
      <w:fldChar w:fldCharType="begin"/>
    </w:r>
    <w:r>
      <w:rPr>
        <w:rStyle w:val="9"/>
        <w:rFonts w:ascii="宋体" w:hAnsi="宋体" w:eastAsia="宋体"/>
        <w:sz w:val="28"/>
        <w:szCs w:val="28"/>
      </w:rPr>
      <w:instrText xml:space="preserve">PAGE  </w:instrText>
    </w:r>
    <w:r>
      <w:rPr>
        <w:rStyle w:val="9"/>
        <w:rFonts w:ascii="宋体" w:hAnsi="宋体" w:eastAsia="宋体"/>
        <w:sz w:val="28"/>
        <w:szCs w:val="28"/>
      </w:rPr>
      <w:fldChar w:fldCharType="separate"/>
    </w:r>
    <w:r>
      <w:rPr>
        <w:rStyle w:val="9"/>
        <w:rFonts w:ascii="宋体" w:hAnsi="宋体" w:eastAsia="宋体"/>
        <w:sz w:val="28"/>
        <w:szCs w:val="28"/>
      </w:rPr>
      <w:t>- 12 -</w:t>
    </w:r>
    <w:r>
      <w:rPr>
        <w:rStyle w:val="9"/>
        <w:rFonts w:ascii="宋体" w:hAnsi="宋体" w:eastAsia="宋体"/>
        <w:sz w:val="28"/>
        <w:szCs w:val="28"/>
      </w:rPr>
      <w:fldChar w:fldCharType="end"/>
    </w:r>
  </w:p>
  <w:p>
    <w:pPr>
      <w:pStyle w:val="4"/>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dit="comments" w:enforcement="1" w:cryptProviderType="rsaFull" w:cryptAlgorithmClass="hash" w:cryptAlgorithmType="typeAny" w:cryptAlgorithmSid="4" w:cryptSpinCount="0" w:hash="G8dWd7iEOzBUMz06vUu0udOn3zE=" w:salt="fK+VfRRxtrroIBF7Pne+8g=="/>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15A64"/>
    <w:rsid w:val="0002118A"/>
    <w:rsid w:val="00021887"/>
    <w:rsid w:val="00022242"/>
    <w:rsid w:val="00023F6E"/>
    <w:rsid w:val="0002523E"/>
    <w:rsid w:val="00025DC3"/>
    <w:rsid w:val="00040E57"/>
    <w:rsid w:val="00044097"/>
    <w:rsid w:val="00050E1F"/>
    <w:rsid w:val="00054305"/>
    <w:rsid w:val="0005566C"/>
    <w:rsid w:val="00060E28"/>
    <w:rsid w:val="0006121E"/>
    <w:rsid w:val="000635BD"/>
    <w:rsid w:val="00065838"/>
    <w:rsid w:val="000711BA"/>
    <w:rsid w:val="00080DEB"/>
    <w:rsid w:val="00083BBE"/>
    <w:rsid w:val="00083EBE"/>
    <w:rsid w:val="00091B9F"/>
    <w:rsid w:val="0009640E"/>
    <w:rsid w:val="000A2EE8"/>
    <w:rsid w:val="000A497E"/>
    <w:rsid w:val="000A7155"/>
    <w:rsid w:val="000A7773"/>
    <w:rsid w:val="000B08C5"/>
    <w:rsid w:val="000B206D"/>
    <w:rsid w:val="000B2C8D"/>
    <w:rsid w:val="000B6AD4"/>
    <w:rsid w:val="000B6C14"/>
    <w:rsid w:val="000B7C75"/>
    <w:rsid w:val="000C0190"/>
    <w:rsid w:val="000C1474"/>
    <w:rsid w:val="000C7811"/>
    <w:rsid w:val="000D21F9"/>
    <w:rsid w:val="000E0AB3"/>
    <w:rsid w:val="000E21E6"/>
    <w:rsid w:val="000E65F1"/>
    <w:rsid w:val="000E73E7"/>
    <w:rsid w:val="000E75AE"/>
    <w:rsid w:val="000F1279"/>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5321"/>
    <w:rsid w:val="00157F86"/>
    <w:rsid w:val="00163D9F"/>
    <w:rsid w:val="00164EBC"/>
    <w:rsid w:val="001669CC"/>
    <w:rsid w:val="00166DAB"/>
    <w:rsid w:val="00166E4B"/>
    <w:rsid w:val="00167DB8"/>
    <w:rsid w:val="00170C1A"/>
    <w:rsid w:val="00171B68"/>
    <w:rsid w:val="00173DD7"/>
    <w:rsid w:val="001759CB"/>
    <w:rsid w:val="00177527"/>
    <w:rsid w:val="00184AA3"/>
    <w:rsid w:val="00194099"/>
    <w:rsid w:val="001951FF"/>
    <w:rsid w:val="001A10E6"/>
    <w:rsid w:val="001A135B"/>
    <w:rsid w:val="001A1FDB"/>
    <w:rsid w:val="001A2A1A"/>
    <w:rsid w:val="001B3A06"/>
    <w:rsid w:val="001B5DF3"/>
    <w:rsid w:val="001C265A"/>
    <w:rsid w:val="001C26F2"/>
    <w:rsid w:val="001C38EB"/>
    <w:rsid w:val="001C40B2"/>
    <w:rsid w:val="001C4F2D"/>
    <w:rsid w:val="001C79E0"/>
    <w:rsid w:val="001D54E6"/>
    <w:rsid w:val="001D640A"/>
    <w:rsid w:val="001D65CB"/>
    <w:rsid w:val="001E197A"/>
    <w:rsid w:val="001E2962"/>
    <w:rsid w:val="001E6468"/>
    <w:rsid w:val="001E7F7F"/>
    <w:rsid w:val="001F0E21"/>
    <w:rsid w:val="001F1CB6"/>
    <w:rsid w:val="001F2FE9"/>
    <w:rsid w:val="001F3267"/>
    <w:rsid w:val="001F6948"/>
    <w:rsid w:val="0020033F"/>
    <w:rsid w:val="00200C57"/>
    <w:rsid w:val="00201CC4"/>
    <w:rsid w:val="00207AD5"/>
    <w:rsid w:val="0021204D"/>
    <w:rsid w:val="002127E3"/>
    <w:rsid w:val="002146E7"/>
    <w:rsid w:val="00216FD0"/>
    <w:rsid w:val="0022011C"/>
    <w:rsid w:val="00226DF0"/>
    <w:rsid w:val="00231C2E"/>
    <w:rsid w:val="00241293"/>
    <w:rsid w:val="00245135"/>
    <w:rsid w:val="002453A6"/>
    <w:rsid w:val="00247520"/>
    <w:rsid w:val="00251FC8"/>
    <w:rsid w:val="002546EA"/>
    <w:rsid w:val="00256471"/>
    <w:rsid w:val="00257943"/>
    <w:rsid w:val="002608FE"/>
    <w:rsid w:val="00271D59"/>
    <w:rsid w:val="0027418F"/>
    <w:rsid w:val="002767AD"/>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1B0E"/>
    <w:rsid w:val="002E531F"/>
    <w:rsid w:val="002E64E8"/>
    <w:rsid w:val="002F3234"/>
    <w:rsid w:val="002F4F3E"/>
    <w:rsid w:val="00300B06"/>
    <w:rsid w:val="00301289"/>
    <w:rsid w:val="0030440B"/>
    <w:rsid w:val="00305C33"/>
    <w:rsid w:val="00307208"/>
    <w:rsid w:val="00311036"/>
    <w:rsid w:val="003136FF"/>
    <w:rsid w:val="003167D1"/>
    <w:rsid w:val="00317644"/>
    <w:rsid w:val="00317B91"/>
    <w:rsid w:val="00320F9D"/>
    <w:rsid w:val="003217D2"/>
    <w:rsid w:val="003228EE"/>
    <w:rsid w:val="0032647C"/>
    <w:rsid w:val="00326734"/>
    <w:rsid w:val="00332F47"/>
    <w:rsid w:val="0033566D"/>
    <w:rsid w:val="003441F7"/>
    <w:rsid w:val="00344D62"/>
    <w:rsid w:val="00345984"/>
    <w:rsid w:val="00361388"/>
    <w:rsid w:val="00362FA4"/>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3234"/>
    <w:rsid w:val="003E4A05"/>
    <w:rsid w:val="003E5F5C"/>
    <w:rsid w:val="003E7D9E"/>
    <w:rsid w:val="003F37E0"/>
    <w:rsid w:val="00401A23"/>
    <w:rsid w:val="00401CA2"/>
    <w:rsid w:val="00405E6D"/>
    <w:rsid w:val="00411C55"/>
    <w:rsid w:val="00415648"/>
    <w:rsid w:val="00415BCE"/>
    <w:rsid w:val="00416351"/>
    <w:rsid w:val="0042015D"/>
    <w:rsid w:val="0042215C"/>
    <w:rsid w:val="004223DE"/>
    <w:rsid w:val="00424663"/>
    <w:rsid w:val="00425950"/>
    <w:rsid w:val="00430B78"/>
    <w:rsid w:val="00441209"/>
    <w:rsid w:val="00443568"/>
    <w:rsid w:val="00444981"/>
    <w:rsid w:val="0045026B"/>
    <w:rsid w:val="00453F94"/>
    <w:rsid w:val="004558AB"/>
    <w:rsid w:val="00457729"/>
    <w:rsid w:val="0047598D"/>
    <w:rsid w:val="004802CE"/>
    <w:rsid w:val="00486DB6"/>
    <w:rsid w:val="00487D16"/>
    <w:rsid w:val="00490FF3"/>
    <w:rsid w:val="004957F5"/>
    <w:rsid w:val="004976A5"/>
    <w:rsid w:val="004A0034"/>
    <w:rsid w:val="004A02D4"/>
    <w:rsid w:val="004A0690"/>
    <w:rsid w:val="004A2CA4"/>
    <w:rsid w:val="004A7A7B"/>
    <w:rsid w:val="004B401D"/>
    <w:rsid w:val="004B58A1"/>
    <w:rsid w:val="004B7BB8"/>
    <w:rsid w:val="004C351C"/>
    <w:rsid w:val="004C42F9"/>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1561C"/>
    <w:rsid w:val="00523B8A"/>
    <w:rsid w:val="00532585"/>
    <w:rsid w:val="00533FA0"/>
    <w:rsid w:val="0053657E"/>
    <w:rsid w:val="0054006F"/>
    <w:rsid w:val="00540C10"/>
    <w:rsid w:val="005464FA"/>
    <w:rsid w:val="0055742A"/>
    <w:rsid w:val="00560650"/>
    <w:rsid w:val="00567FB5"/>
    <w:rsid w:val="005770C3"/>
    <w:rsid w:val="00577753"/>
    <w:rsid w:val="00581AD2"/>
    <w:rsid w:val="005857A0"/>
    <w:rsid w:val="00587D18"/>
    <w:rsid w:val="00591E58"/>
    <w:rsid w:val="00592D42"/>
    <w:rsid w:val="005A5B02"/>
    <w:rsid w:val="005B3245"/>
    <w:rsid w:val="005B6754"/>
    <w:rsid w:val="005B75C0"/>
    <w:rsid w:val="005C3143"/>
    <w:rsid w:val="005D311B"/>
    <w:rsid w:val="005D559F"/>
    <w:rsid w:val="005D61D8"/>
    <w:rsid w:val="005E011D"/>
    <w:rsid w:val="005E3B86"/>
    <w:rsid w:val="005E4E6B"/>
    <w:rsid w:val="005E6995"/>
    <w:rsid w:val="005E7043"/>
    <w:rsid w:val="005E7C64"/>
    <w:rsid w:val="005F2A5A"/>
    <w:rsid w:val="005F2AEA"/>
    <w:rsid w:val="005F4FFE"/>
    <w:rsid w:val="00602C6F"/>
    <w:rsid w:val="00604ECA"/>
    <w:rsid w:val="006069FD"/>
    <w:rsid w:val="00610EE1"/>
    <w:rsid w:val="00613C84"/>
    <w:rsid w:val="0061632B"/>
    <w:rsid w:val="006168AD"/>
    <w:rsid w:val="00621929"/>
    <w:rsid w:val="0062266C"/>
    <w:rsid w:val="006250CB"/>
    <w:rsid w:val="00627F36"/>
    <w:rsid w:val="006304D1"/>
    <w:rsid w:val="00631DA8"/>
    <w:rsid w:val="0063431E"/>
    <w:rsid w:val="00645C30"/>
    <w:rsid w:val="0065497B"/>
    <w:rsid w:val="00654E41"/>
    <w:rsid w:val="00667D4E"/>
    <w:rsid w:val="0067149A"/>
    <w:rsid w:val="0069278A"/>
    <w:rsid w:val="00697D49"/>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1E8"/>
    <w:rsid w:val="006F5B6D"/>
    <w:rsid w:val="006F5BD8"/>
    <w:rsid w:val="006F7AF9"/>
    <w:rsid w:val="007015B6"/>
    <w:rsid w:val="00701EC2"/>
    <w:rsid w:val="007021BE"/>
    <w:rsid w:val="00706C32"/>
    <w:rsid w:val="00707C9C"/>
    <w:rsid w:val="007106B4"/>
    <w:rsid w:val="007214A9"/>
    <w:rsid w:val="007214DF"/>
    <w:rsid w:val="007220B1"/>
    <w:rsid w:val="00724A4B"/>
    <w:rsid w:val="00727A14"/>
    <w:rsid w:val="007302C1"/>
    <w:rsid w:val="0073120F"/>
    <w:rsid w:val="007314F0"/>
    <w:rsid w:val="007324AF"/>
    <w:rsid w:val="0074240E"/>
    <w:rsid w:val="00742FA1"/>
    <w:rsid w:val="007476BA"/>
    <w:rsid w:val="00750798"/>
    <w:rsid w:val="00752BCF"/>
    <w:rsid w:val="0076538D"/>
    <w:rsid w:val="007714E5"/>
    <w:rsid w:val="00773D5E"/>
    <w:rsid w:val="00776FAF"/>
    <w:rsid w:val="00777229"/>
    <w:rsid w:val="007775E8"/>
    <w:rsid w:val="0078072D"/>
    <w:rsid w:val="00784108"/>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101A6"/>
    <w:rsid w:val="0081044D"/>
    <w:rsid w:val="00821E76"/>
    <w:rsid w:val="008259BC"/>
    <w:rsid w:val="0083105A"/>
    <w:rsid w:val="00837040"/>
    <w:rsid w:val="008427AB"/>
    <w:rsid w:val="008439F9"/>
    <w:rsid w:val="00845B7B"/>
    <w:rsid w:val="00847DCE"/>
    <w:rsid w:val="0085023C"/>
    <w:rsid w:val="00853966"/>
    <w:rsid w:val="00857827"/>
    <w:rsid w:val="00862CEF"/>
    <w:rsid w:val="00866A6C"/>
    <w:rsid w:val="00895252"/>
    <w:rsid w:val="008969FE"/>
    <w:rsid w:val="008A237C"/>
    <w:rsid w:val="008A2D2C"/>
    <w:rsid w:val="008A3633"/>
    <w:rsid w:val="008B2514"/>
    <w:rsid w:val="008B4607"/>
    <w:rsid w:val="008B5C78"/>
    <w:rsid w:val="008C030F"/>
    <w:rsid w:val="008C3836"/>
    <w:rsid w:val="008D046E"/>
    <w:rsid w:val="008E28BD"/>
    <w:rsid w:val="008E4EAC"/>
    <w:rsid w:val="008E541E"/>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354F6"/>
    <w:rsid w:val="00940134"/>
    <w:rsid w:val="00943A3E"/>
    <w:rsid w:val="00944CCC"/>
    <w:rsid w:val="00945E7F"/>
    <w:rsid w:val="00947403"/>
    <w:rsid w:val="0095057C"/>
    <w:rsid w:val="009543BA"/>
    <w:rsid w:val="00954FB4"/>
    <w:rsid w:val="0095754B"/>
    <w:rsid w:val="00960925"/>
    <w:rsid w:val="00970AB3"/>
    <w:rsid w:val="00982C13"/>
    <w:rsid w:val="00985DF4"/>
    <w:rsid w:val="00987E45"/>
    <w:rsid w:val="0099241E"/>
    <w:rsid w:val="009942F3"/>
    <w:rsid w:val="00994950"/>
    <w:rsid w:val="0099652B"/>
    <w:rsid w:val="009A0831"/>
    <w:rsid w:val="009A44FB"/>
    <w:rsid w:val="009A5CDE"/>
    <w:rsid w:val="009A7040"/>
    <w:rsid w:val="009B3F92"/>
    <w:rsid w:val="009C3CE9"/>
    <w:rsid w:val="009C6A82"/>
    <w:rsid w:val="009D13F2"/>
    <w:rsid w:val="009D15D2"/>
    <w:rsid w:val="009D4D97"/>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4617D"/>
    <w:rsid w:val="00A467C6"/>
    <w:rsid w:val="00A55F77"/>
    <w:rsid w:val="00A72457"/>
    <w:rsid w:val="00A86966"/>
    <w:rsid w:val="00A872D8"/>
    <w:rsid w:val="00A912CC"/>
    <w:rsid w:val="00A970D1"/>
    <w:rsid w:val="00AA57AE"/>
    <w:rsid w:val="00AB0AFB"/>
    <w:rsid w:val="00AC002C"/>
    <w:rsid w:val="00AC1DD9"/>
    <w:rsid w:val="00AC4218"/>
    <w:rsid w:val="00AD13C4"/>
    <w:rsid w:val="00AD3489"/>
    <w:rsid w:val="00AD3E2D"/>
    <w:rsid w:val="00AD51DD"/>
    <w:rsid w:val="00AE5C1B"/>
    <w:rsid w:val="00AE79D8"/>
    <w:rsid w:val="00AE7BAC"/>
    <w:rsid w:val="00AF09FB"/>
    <w:rsid w:val="00B00C16"/>
    <w:rsid w:val="00B03B3E"/>
    <w:rsid w:val="00B046A4"/>
    <w:rsid w:val="00B06382"/>
    <w:rsid w:val="00B0733F"/>
    <w:rsid w:val="00B10701"/>
    <w:rsid w:val="00B10AF5"/>
    <w:rsid w:val="00B146E7"/>
    <w:rsid w:val="00B30B86"/>
    <w:rsid w:val="00B32A4F"/>
    <w:rsid w:val="00B358E2"/>
    <w:rsid w:val="00B40CB6"/>
    <w:rsid w:val="00B4203A"/>
    <w:rsid w:val="00B50AD6"/>
    <w:rsid w:val="00B51AB3"/>
    <w:rsid w:val="00B5337C"/>
    <w:rsid w:val="00B5340F"/>
    <w:rsid w:val="00B611F7"/>
    <w:rsid w:val="00B6765D"/>
    <w:rsid w:val="00B717C5"/>
    <w:rsid w:val="00B718B8"/>
    <w:rsid w:val="00B73C33"/>
    <w:rsid w:val="00B75463"/>
    <w:rsid w:val="00B76C9B"/>
    <w:rsid w:val="00B90F21"/>
    <w:rsid w:val="00B93445"/>
    <w:rsid w:val="00B94F7E"/>
    <w:rsid w:val="00B95F83"/>
    <w:rsid w:val="00B965C5"/>
    <w:rsid w:val="00B96E34"/>
    <w:rsid w:val="00B9729A"/>
    <w:rsid w:val="00BB0177"/>
    <w:rsid w:val="00BB3A31"/>
    <w:rsid w:val="00BC1A56"/>
    <w:rsid w:val="00BC2D65"/>
    <w:rsid w:val="00BD1F2C"/>
    <w:rsid w:val="00BD2BBE"/>
    <w:rsid w:val="00BD7EF8"/>
    <w:rsid w:val="00BE0FEE"/>
    <w:rsid w:val="00BE4817"/>
    <w:rsid w:val="00BE721C"/>
    <w:rsid w:val="00BF0DC7"/>
    <w:rsid w:val="00BF1F54"/>
    <w:rsid w:val="00BF31AA"/>
    <w:rsid w:val="00C04782"/>
    <w:rsid w:val="00C04F2D"/>
    <w:rsid w:val="00C238F0"/>
    <w:rsid w:val="00C25CC6"/>
    <w:rsid w:val="00C31297"/>
    <w:rsid w:val="00C61A9B"/>
    <w:rsid w:val="00C66BD8"/>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36A8D"/>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57FE6"/>
    <w:rsid w:val="00E64B7B"/>
    <w:rsid w:val="00E66654"/>
    <w:rsid w:val="00E709FC"/>
    <w:rsid w:val="00E7154C"/>
    <w:rsid w:val="00E74817"/>
    <w:rsid w:val="00E75B6D"/>
    <w:rsid w:val="00E76C2B"/>
    <w:rsid w:val="00E8294F"/>
    <w:rsid w:val="00E870C3"/>
    <w:rsid w:val="00E8738A"/>
    <w:rsid w:val="00E916E5"/>
    <w:rsid w:val="00E92780"/>
    <w:rsid w:val="00E92F11"/>
    <w:rsid w:val="00E95399"/>
    <w:rsid w:val="00E95FBD"/>
    <w:rsid w:val="00E9654C"/>
    <w:rsid w:val="00EA1A1C"/>
    <w:rsid w:val="00EA34EF"/>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05960"/>
    <w:rsid w:val="00F113F4"/>
    <w:rsid w:val="00F13479"/>
    <w:rsid w:val="00F14CE8"/>
    <w:rsid w:val="00F1625A"/>
    <w:rsid w:val="00F17C93"/>
    <w:rsid w:val="00F50BA2"/>
    <w:rsid w:val="00F5664D"/>
    <w:rsid w:val="00F6771B"/>
    <w:rsid w:val="00F703C3"/>
    <w:rsid w:val="00F80799"/>
    <w:rsid w:val="00F8162A"/>
    <w:rsid w:val="00F81776"/>
    <w:rsid w:val="00F835AD"/>
    <w:rsid w:val="00F83D56"/>
    <w:rsid w:val="00F844FD"/>
    <w:rsid w:val="00F869A3"/>
    <w:rsid w:val="00F86FB3"/>
    <w:rsid w:val="00F93037"/>
    <w:rsid w:val="00F97BF1"/>
    <w:rsid w:val="00FA29D8"/>
    <w:rsid w:val="00FA513D"/>
    <w:rsid w:val="00FA5F5D"/>
    <w:rsid w:val="00FB0BA6"/>
    <w:rsid w:val="00FC29A0"/>
    <w:rsid w:val="00FC6C17"/>
    <w:rsid w:val="00FD2B63"/>
    <w:rsid w:val="00FE48DB"/>
    <w:rsid w:val="00FF3620"/>
    <w:rsid w:val="00FF3A84"/>
    <w:rsid w:val="01110239"/>
    <w:rsid w:val="028847F9"/>
    <w:rsid w:val="03AA79F6"/>
    <w:rsid w:val="04741FE5"/>
    <w:rsid w:val="04DB02C7"/>
    <w:rsid w:val="06B856EE"/>
    <w:rsid w:val="07FE5938"/>
    <w:rsid w:val="084604BC"/>
    <w:rsid w:val="08883825"/>
    <w:rsid w:val="09725983"/>
    <w:rsid w:val="098F0F87"/>
    <w:rsid w:val="0A382BB5"/>
    <w:rsid w:val="0AA4543A"/>
    <w:rsid w:val="0BE61132"/>
    <w:rsid w:val="0C9B0DD6"/>
    <w:rsid w:val="0CE4791C"/>
    <w:rsid w:val="0E063C64"/>
    <w:rsid w:val="0F4C7B96"/>
    <w:rsid w:val="0FFB575E"/>
    <w:rsid w:val="10845F1B"/>
    <w:rsid w:val="11463A00"/>
    <w:rsid w:val="11600918"/>
    <w:rsid w:val="11B0398F"/>
    <w:rsid w:val="13B960C5"/>
    <w:rsid w:val="152777F4"/>
    <w:rsid w:val="15C674B6"/>
    <w:rsid w:val="18D54A0D"/>
    <w:rsid w:val="1A4106A0"/>
    <w:rsid w:val="1A4F5437"/>
    <w:rsid w:val="1A821A4E"/>
    <w:rsid w:val="1AB77CD0"/>
    <w:rsid w:val="1E807156"/>
    <w:rsid w:val="1EA657F6"/>
    <w:rsid w:val="1F097CB6"/>
    <w:rsid w:val="2166156B"/>
    <w:rsid w:val="21B02D83"/>
    <w:rsid w:val="22A236F5"/>
    <w:rsid w:val="2334547D"/>
    <w:rsid w:val="23995975"/>
    <w:rsid w:val="2432220E"/>
    <w:rsid w:val="248303BA"/>
    <w:rsid w:val="24837E47"/>
    <w:rsid w:val="252E01AA"/>
    <w:rsid w:val="2680023E"/>
    <w:rsid w:val="29680352"/>
    <w:rsid w:val="2A020F75"/>
    <w:rsid w:val="2B007AEE"/>
    <w:rsid w:val="2BC14C56"/>
    <w:rsid w:val="2C1B026F"/>
    <w:rsid w:val="2CC61F55"/>
    <w:rsid w:val="2EF7452F"/>
    <w:rsid w:val="2F1D13B4"/>
    <w:rsid w:val="2FAA3DA6"/>
    <w:rsid w:val="30682E1F"/>
    <w:rsid w:val="30E210D2"/>
    <w:rsid w:val="311371D6"/>
    <w:rsid w:val="31EB64C9"/>
    <w:rsid w:val="336D0D6F"/>
    <w:rsid w:val="352E4BEC"/>
    <w:rsid w:val="37DD5594"/>
    <w:rsid w:val="38F24FA8"/>
    <w:rsid w:val="3A98342A"/>
    <w:rsid w:val="3AB6780E"/>
    <w:rsid w:val="3AD56D70"/>
    <w:rsid w:val="3B2920C2"/>
    <w:rsid w:val="3BE41ABD"/>
    <w:rsid w:val="3C5421A9"/>
    <w:rsid w:val="3D903B21"/>
    <w:rsid w:val="3F440741"/>
    <w:rsid w:val="41FC306C"/>
    <w:rsid w:val="44BE5554"/>
    <w:rsid w:val="451E0908"/>
    <w:rsid w:val="452C2D31"/>
    <w:rsid w:val="45D26E14"/>
    <w:rsid w:val="46A541B1"/>
    <w:rsid w:val="48C57772"/>
    <w:rsid w:val="49782886"/>
    <w:rsid w:val="4A6F0D28"/>
    <w:rsid w:val="4AAF085C"/>
    <w:rsid w:val="4AEB7E60"/>
    <w:rsid w:val="4B4B135B"/>
    <w:rsid w:val="4BC7055F"/>
    <w:rsid w:val="4CFC7DB2"/>
    <w:rsid w:val="4E7C187D"/>
    <w:rsid w:val="508941AD"/>
    <w:rsid w:val="50E65530"/>
    <w:rsid w:val="51457139"/>
    <w:rsid w:val="51574DBD"/>
    <w:rsid w:val="51EC1DA8"/>
    <w:rsid w:val="52FC5524"/>
    <w:rsid w:val="532D7A17"/>
    <w:rsid w:val="54AF4562"/>
    <w:rsid w:val="54C9674B"/>
    <w:rsid w:val="556318EA"/>
    <w:rsid w:val="55A60AA1"/>
    <w:rsid w:val="56451615"/>
    <w:rsid w:val="57FC5774"/>
    <w:rsid w:val="591B0C29"/>
    <w:rsid w:val="59B332C9"/>
    <w:rsid w:val="5A3A6459"/>
    <w:rsid w:val="5A44758A"/>
    <w:rsid w:val="5BEC4BB3"/>
    <w:rsid w:val="5C070B55"/>
    <w:rsid w:val="5CB96DCE"/>
    <w:rsid w:val="5CE61580"/>
    <w:rsid w:val="5D175666"/>
    <w:rsid w:val="5D556A3C"/>
    <w:rsid w:val="5D7B25C9"/>
    <w:rsid w:val="5ECB44B4"/>
    <w:rsid w:val="5EE2043C"/>
    <w:rsid w:val="602D2E37"/>
    <w:rsid w:val="61460FBE"/>
    <w:rsid w:val="62775810"/>
    <w:rsid w:val="62D83744"/>
    <w:rsid w:val="630F4048"/>
    <w:rsid w:val="63AA02E5"/>
    <w:rsid w:val="64700DE9"/>
    <w:rsid w:val="64F21413"/>
    <w:rsid w:val="65C613BD"/>
    <w:rsid w:val="65FD118C"/>
    <w:rsid w:val="682C3D89"/>
    <w:rsid w:val="68611305"/>
    <w:rsid w:val="6A162DE0"/>
    <w:rsid w:val="6A331428"/>
    <w:rsid w:val="6B2E5CB6"/>
    <w:rsid w:val="6B3D4886"/>
    <w:rsid w:val="6DF8675E"/>
    <w:rsid w:val="6EA80098"/>
    <w:rsid w:val="6F8D70FF"/>
    <w:rsid w:val="6FFE5011"/>
    <w:rsid w:val="7178734D"/>
    <w:rsid w:val="71791096"/>
    <w:rsid w:val="717B0C34"/>
    <w:rsid w:val="71FB78FD"/>
    <w:rsid w:val="71FD39A1"/>
    <w:rsid w:val="7275064A"/>
    <w:rsid w:val="733F750B"/>
    <w:rsid w:val="735702E2"/>
    <w:rsid w:val="765F635A"/>
    <w:rsid w:val="76B73454"/>
    <w:rsid w:val="76D254BD"/>
    <w:rsid w:val="77727ACD"/>
    <w:rsid w:val="78071142"/>
    <w:rsid w:val="79296B37"/>
    <w:rsid w:val="7A4C4C40"/>
    <w:rsid w:val="7AA0518E"/>
    <w:rsid w:val="7B041636"/>
    <w:rsid w:val="7CA86749"/>
    <w:rsid w:val="7EC92370"/>
    <w:rsid w:val="7F223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semiHidden/>
    <w:unhideWhenUsed/>
    <w:qFormat/>
    <w:uiPriority w:val="99"/>
    <w:pPr>
      <w:jc w:val="left"/>
    </w:pPr>
  </w:style>
  <w:style w:type="paragraph" w:styleId="3">
    <w:name w:val="Balloon Text"/>
    <w:basedOn w:val="1"/>
    <w:link w:val="14"/>
    <w:semiHidden/>
    <w:unhideWhenUsed/>
    <w:qFormat/>
    <w:uiPriority w:val="99"/>
    <w:rPr>
      <w:sz w:val="18"/>
      <w:szCs w:val="18"/>
    </w:rPr>
  </w:style>
  <w:style w:type="paragraph" w:styleId="4">
    <w:name w:val="footer"/>
    <w:basedOn w:val="1"/>
    <w:link w:val="1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3"/>
    <w:semiHidden/>
    <w:unhideWhenUsed/>
    <w:qFormat/>
    <w:uiPriority w:val="99"/>
    <w:rPr>
      <w:b/>
      <w:bCs/>
    </w:rPr>
  </w:style>
  <w:style w:type="character" w:styleId="9">
    <w:name w:val="page number"/>
    <w:basedOn w:val="8"/>
    <w:qFormat/>
    <w:uiPriority w:val="0"/>
  </w:style>
  <w:style w:type="character" w:styleId="10">
    <w:name w:val="annotation reference"/>
    <w:basedOn w:val="8"/>
    <w:semiHidden/>
    <w:unhideWhenUsed/>
    <w:qFormat/>
    <w:uiPriority w:val="99"/>
    <w:rPr>
      <w:sz w:val="21"/>
      <w:szCs w:val="21"/>
    </w:rPr>
  </w:style>
  <w:style w:type="character" w:customStyle="1" w:styleId="11">
    <w:name w:val="页脚 Char"/>
    <w:basedOn w:val="8"/>
    <w:link w:val="4"/>
    <w:qFormat/>
    <w:uiPriority w:val="0"/>
    <w:rPr>
      <w:rFonts w:ascii="Times New Roman" w:hAnsi="Times New Roman" w:eastAsia="黑体" w:cs="Times New Roman"/>
      <w:snapToGrid w:val="0"/>
      <w:kern w:val="0"/>
      <w:sz w:val="18"/>
      <w:szCs w:val="18"/>
    </w:rPr>
  </w:style>
  <w:style w:type="character" w:customStyle="1" w:styleId="12">
    <w:name w:val="批注文字 Char"/>
    <w:basedOn w:val="8"/>
    <w:link w:val="2"/>
    <w:semiHidden/>
    <w:qFormat/>
    <w:uiPriority w:val="99"/>
    <w:rPr>
      <w:rFonts w:ascii="Times New Roman" w:hAnsi="Times New Roman" w:eastAsia="宋体" w:cs="Times New Roman"/>
      <w:szCs w:val="24"/>
    </w:rPr>
  </w:style>
  <w:style w:type="character" w:customStyle="1" w:styleId="13">
    <w:name w:val="批注主题 Char"/>
    <w:basedOn w:val="12"/>
    <w:link w:val="6"/>
    <w:semiHidden/>
    <w:qFormat/>
    <w:uiPriority w:val="99"/>
    <w:rPr>
      <w:rFonts w:ascii="Times New Roman" w:hAnsi="Times New Roman" w:eastAsia="宋体" w:cs="Times New Roman"/>
      <w:b/>
      <w:bCs/>
      <w:szCs w:val="24"/>
    </w:rPr>
  </w:style>
  <w:style w:type="character" w:customStyle="1" w:styleId="14">
    <w:name w:val="批注框文本 Char"/>
    <w:basedOn w:val="8"/>
    <w:link w:val="3"/>
    <w:semiHidden/>
    <w:qFormat/>
    <w:uiPriority w:val="99"/>
    <w:rPr>
      <w:rFonts w:ascii="Times New Roman" w:hAnsi="Times New Roman" w:eastAsia="宋体" w:cs="Times New Roman"/>
      <w:sz w:val="18"/>
      <w:szCs w:val="18"/>
    </w:rPr>
  </w:style>
  <w:style w:type="character" w:customStyle="1" w:styleId="15">
    <w:name w:val="页眉 Char"/>
    <w:basedOn w:val="8"/>
    <w:link w:val="5"/>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13</Pages>
  <Words>852</Words>
  <Characters>4862</Characters>
  <Lines>40</Lines>
  <Paragraphs>11</Paragraphs>
  <TotalTime>335</TotalTime>
  <ScaleCrop>false</ScaleCrop>
  <LinksUpToDate>false</LinksUpToDate>
  <CharactersWithSpaces>5703</CharactersWithSpaces>
  <Application>WPS Office_11.1.0.9208_F1E327BC-269C-435d-A152-05C5408002CA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Administrator</cp:lastModifiedBy>
  <dcterms:modified xsi:type="dcterms:W3CDTF">2021-05-30T02:58:57Z</dcterms:modified>
  <cp:revision>849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