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2018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left="2880" w:hanging="2880" w:hangingChars="800"/>
        <w:jc w:val="left"/>
        <w:rPr>
          <w:rFonts w:hAnsi="宋体" w:eastAsia="仿宋_GB2312" w:cs="宋体"/>
          <w:kern w:val="0"/>
          <w:sz w:val="36"/>
          <w:szCs w:val="36"/>
        </w:rPr>
      </w:pPr>
      <w:r>
        <w:rPr>
          <w:rFonts w:hint="eastAsia" w:hAnsi="宋体" w:eastAsia="仿宋_GB2312" w:cs="宋体"/>
          <w:kern w:val="0"/>
          <w:sz w:val="36"/>
          <w:szCs w:val="36"/>
        </w:rPr>
        <w:t xml:space="preserve">     项目名称：更换比什凯克商贸工作站上下水管</w:t>
      </w:r>
      <w:r>
        <w:rPr>
          <w:rFonts w:hint="eastAsia" w:hAnsi="宋体" w:eastAsia="仿宋_GB2312" w:cs="宋体"/>
          <w:kern w:val="0"/>
          <w:sz w:val="36"/>
          <w:szCs w:val="36"/>
          <w:lang w:val="en-US" w:eastAsia="zh-CN"/>
        </w:rPr>
        <w:t>道</w:t>
      </w:r>
      <w:r>
        <w:rPr>
          <w:rFonts w:hint="eastAsia" w:hAnsi="宋体" w:eastAsia="仿宋_GB2312" w:cs="宋体"/>
          <w:kern w:val="0"/>
          <w:sz w:val="36"/>
          <w:szCs w:val="36"/>
        </w:rPr>
        <w:t>及线路维修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实施单位（公章）：喀什驻外商贸联络处</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主管部门（公章）：喀什经济开发区管委会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项目负责人（签章）：安国东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填报时间：2019 年 3 月 12 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rPr>
          <w:rStyle w:val="18"/>
          <w:rFonts w:ascii="黑体" w:hAnsi="黑体" w:eastAsia="黑体"/>
          <w:b w:val="0"/>
          <w:spacing w:val="-4"/>
          <w:sz w:val="32"/>
          <w:szCs w:val="32"/>
        </w:rPr>
      </w:pPr>
    </w:p>
    <w:p>
      <w:pPr>
        <w:spacing w:line="540" w:lineRule="exact"/>
        <w:rPr>
          <w:rStyle w:val="18"/>
          <w:rFonts w:hint="eastAsia" w:ascii="黑体" w:hAnsi="黑体" w:eastAsia="黑体"/>
          <w:b w:val="0"/>
          <w:spacing w:val="-4"/>
          <w:sz w:val="32"/>
          <w:szCs w:val="32"/>
        </w:rPr>
        <w:sectPr>
          <w:pgSz w:w="11906" w:h="16838"/>
          <w:pgMar w:top="1440" w:right="1558" w:bottom="1440" w:left="1800" w:header="851" w:footer="992" w:gutter="0"/>
          <w:cols w:space="425" w:num="1"/>
          <w:docGrid w:type="lines" w:linePitch="312" w:charSpace="0"/>
        </w:sectPr>
      </w:pPr>
      <w:bookmarkStart w:id="0" w:name="_GoBack"/>
      <w:bookmarkEnd w:id="0"/>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360" w:lineRule="auto"/>
        <w:ind w:firstLine="624" w:firstLineChars="200"/>
        <w:rPr>
          <w:rStyle w:val="18"/>
          <w:rFonts w:ascii="仿宋" w:hAnsi="仿宋" w:eastAsia="仿宋"/>
          <w:b w:val="0"/>
          <w:bCs w:val="0"/>
          <w:spacing w:val="-4"/>
          <w:sz w:val="32"/>
          <w:szCs w:val="32"/>
        </w:rPr>
      </w:pPr>
      <w:r>
        <w:rPr>
          <w:rStyle w:val="18"/>
          <w:rFonts w:hint="eastAsia" w:ascii="仿宋" w:hAnsi="仿宋" w:eastAsia="仿宋"/>
          <w:b w:val="0"/>
          <w:bCs w:val="0"/>
          <w:spacing w:val="-4"/>
          <w:sz w:val="32"/>
          <w:szCs w:val="32"/>
        </w:rPr>
        <w:t>喀什驻外商贸联络处是2017年二月整体划转到喀什经济开发区的。副县级事业单位，编制10人，副县级1人，科级3人，工勤人员1人；内设机构办公室和3个境外商贸工作站；现有在职工作人员3人。</w:t>
      </w:r>
    </w:p>
    <w:p>
      <w:pPr>
        <w:spacing w:line="360" w:lineRule="auto"/>
        <w:ind w:firstLine="624" w:firstLineChars="200"/>
        <w:rPr>
          <w:rStyle w:val="18"/>
          <w:rFonts w:ascii="仿宋" w:hAnsi="仿宋" w:eastAsia="仿宋"/>
          <w:b w:val="0"/>
          <w:bCs w:val="0"/>
          <w:spacing w:val="-4"/>
          <w:sz w:val="32"/>
          <w:szCs w:val="32"/>
        </w:rPr>
      </w:pPr>
      <w:r>
        <w:rPr>
          <w:rStyle w:val="18"/>
          <w:rFonts w:hint="eastAsia" w:ascii="仿宋" w:hAnsi="仿宋" w:eastAsia="仿宋"/>
          <w:b w:val="0"/>
          <w:bCs w:val="0"/>
          <w:spacing w:val="-4"/>
          <w:sz w:val="32"/>
          <w:szCs w:val="32"/>
        </w:rPr>
        <w:t>主要职能：加强与住在国政府部门、商会、华人华侨商会等联络；收集反馈国外经济信息；宣传推介我区优惠政策、名优特产品、对外经济合作项目等信息；发挥沟通联络和窗口作用，为国内外客商提供政策、业务咨询服务；全面负责、统筹协调3个驻外工作站工作；完成上级交办的其他工作任务。</w:t>
      </w:r>
    </w:p>
    <w:p>
      <w:pPr>
        <w:spacing w:line="360" w:lineRule="auto"/>
        <w:ind w:firstLine="624" w:firstLineChars="200"/>
        <w:rPr>
          <w:rStyle w:val="18"/>
          <w:rFonts w:ascii="仿宋" w:hAnsi="仿宋" w:eastAsia="仿宋"/>
          <w:b w:val="0"/>
          <w:bCs w:val="0"/>
          <w:spacing w:val="-4"/>
          <w:sz w:val="32"/>
          <w:szCs w:val="32"/>
        </w:rPr>
      </w:pPr>
      <w:r>
        <w:rPr>
          <w:rStyle w:val="18"/>
          <w:rFonts w:hint="eastAsia" w:ascii="仿宋" w:hAnsi="仿宋" w:eastAsia="仿宋"/>
          <w:b w:val="0"/>
          <w:bCs w:val="0"/>
          <w:spacing w:val="-4"/>
          <w:sz w:val="32"/>
          <w:szCs w:val="32"/>
        </w:rPr>
        <w:t>根据喀党编委（2016）2号文件精神，喀什经济开发区党工委于2018年7月3日以（喀经开阅[2018]11号文——喀什经济开发区主任办公会议纪要）的形式，同意增设巴基斯坦伊斯兰堡、塔吉克斯坦杜尚别2个境外商贸工作站。</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hint="eastAsia"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1、项目预期目标及阶段性目标</w:t>
      </w:r>
    </w:p>
    <w:p>
      <w:pPr>
        <w:numPr>
          <w:ilvl w:val="0"/>
          <w:numId w:val="0"/>
        </w:numPr>
        <w:spacing w:line="540" w:lineRule="exact"/>
        <w:ind w:firstLine="624" w:firstLineChars="200"/>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比什凯克商贸工作站房屋面积602平方米，24个房间，更换上下水管道及电路维修，避免安全隐患，确保喀什驻外商贸联络处全盘工作得以正常开展，充分发挥喀什驻外商贸联络处境外商贸工作站的沟通联络和窗口作用。</w:t>
      </w:r>
    </w:p>
    <w:p>
      <w:pPr>
        <w:adjustRightInd w:val="0"/>
        <w:snapToGrid w:val="0"/>
        <w:spacing w:line="560" w:lineRule="exact"/>
        <w:ind w:firstLine="627" w:firstLineChars="200"/>
        <w:rPr>
          <w:rFonts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2、项目基本性质</w:t>
      </w:r>
    </w:p>
    <w:p>
      <w:pPr>
        <w:adjustRightInd w:val="0"/>
        <w:snapToGrid w:val="0"/>
        <w:spacing w:line="560" w:lineRule="exact"/>
        <w:ind w:firstLine="624" w:firstLineChars="200"/>
        <w:rPr>
          <w:rFonts w:ascii="仿宋" w:hAnsi="仿宋" w:eastAsia="仿宋"/>
          <w:bCs/>
          <w:color w:val="auto"/>
          <w:spacing w:val="-4"/>
          <w:sz w:val="32"/>
          <w:szCs w:val="32"/>
          <w:shd w:val="clear" w:color="auto" w:fill="auto"/>
        </w:rPr>
      </w:pPr>
      <w:r>
        <w:rPr>
          <w:rFonts w:hint="eastAsia" w:ascii="仿宋" w:hAnsi="仿宋" w:eastAsia="仿宋"/>
          <w:bCs/>
          <w:color w:val="auto"/>
          <w:spacing w:val="-4"/>
          <w:sz w:val="32"/>
          <w:szCs w:val="32"/>
          <w:shd w:val="clear" w:color="auto" w:fill="auto"/>
        </w:rPr>
        <w:t>本项目性质为</w:t>
      </w:r>
      <w:r>
        <w:rPr>
          <w:rFonts w:hint="eastAsia" w:ascii="仿宋" w:hAnsi="仿宋" w:eastAsia="仿宋"/>
          <w:bCs/>
          <w:color w:val="auto"/>
          <w:spacing w:val="-4"/>
          <w:sz w:val="32"/>
          <w:szCs w:val="32"/>
          <w:shd w:val="clear" w:color="auto" w:fill="auto"/>
          <w:lang w:val="en-US" w:eastAsia="zh-CN"/>
        </w:rPr>
        <w:t>新增项目</w:t>
      </w:r>
      <w:r>
        <w:rPr>
          <w:rFonts w:hint="eastAsia" w:ascii="仿宋" w:hAnsi="仿宋" w:eastAsia="仿宋"/>
          <w:bCs/>
          <w:color w:val="auto"/>
          <w:spacing w:val="-4"/>
          <w:sz w:val="32"/>
          <w:szCs w:val="32"/>
          <w:shd w:val="clear" w:color="auto" w:fill="auto"/>
        </w:rPr>
        <w:t>。</w:t>
      </w:r>
    </w:p>
    <w:p>
      <w:pPr>
        <w:adjustRightInd w:val="0"/>
        <w:snapToGrid w:val="0"/>
        <w:spacing w:line="560" w:lineRule="exact"/>
        <w:ind w:firstLine="627" w:firstLineChars="200"/>
        <w:rPr>
          <w:rFonts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3、项目用途及范围</w:t>
      </w:r>
    </w:p>
    <w:p>
      <w:pPr>
        <w:numPr>
          <w:ilvl w:val="0"/>
          <w:numId w:val="0"/>
        </w:numPr>
        <w:spacing w:line="540" w:lineRule="exact"/>
        <w:ind w:firstLine="624" w:firstLineChars="200"/>
        <w:rPr>
          <w:rStyle w:val="18"/>
          <w:rFonts w:ascii="黑体" w:hAnsi="黑体" w:eastAsia="黑体"/>
          <w:b w:val="0"/>
          <w:spacing w:val="-4"/>
          <w:sz w:val="32"/>
          <w:szCs w:val="32"/>
        </w:rPr>
      </w:pPr>
      <w:r>
        <w:rPr>
          <w:rStyle w:val="18"/>
          <w:rFonts w:hint="eastAsia" w:ascii="仿宋" w:hAnsi="仿宋" w:eastAsia="仿宋"/>
          <w:b w:val="0"/>
          <w:spacing w:val="-4"/>
          <w:sz w:val="32"/>
          <w:szCs w:val="32"/>
        </w:rPr>
        <w:t>确保喀什驻外商贸联络处全盘工作得以正常开展，充分发挥喀什驻外商贸联络处境外商贸工作站的沟通联络和窗口作用。</w:t>
      </w:r>
    </w:p>
    <w:p>
      <w:pPr>
        <w:numPr>
          <w:ilvl w:val="0"/>
          <w:numId w:val="1"/>
        </w:num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项目资金使用及管理情况</w:t>
      </w:r>
    </w:p>
    <w:p>
      <w:pPr>
        <w:spacing w:line="540" w:lineRule="exact"/>
        <w:rPr>
          <w:rStyle w:val="18"/>
          <w:rFonts w:ascii="楷体" w:hAnsi="楷体" w:eastAsia="楷体"/>
          <w:spacing w:val="-4"/>
          <w:sz w:val="32"/>
          <w:szCs w:val="32"/>
        </w:rPr>
      </w:pPr>
      <w:r>
        <w:rPr>
          <w:rStyle w:val="18"/>
          <w:rFonts w:hint="eastAsia" w:ascii="黑体" w:hAnsi="黑体" w:eastAsia="黑体"/>
          <w:b w:val="0"/>
          <w:spacing w:val="-4"/>
          <w:sz w:val="32"/>
          <w:szCs w:val="32"/>
        </w:rPr>
        <w:t xml:space="preserve">    </w:t>
      </w:r>
      <w:r>
        <w:rPr>
          <w:rStyle w:val="18"/>
          <w:rFonts w:hint="eastAsia" w:ascii="楷体" w:hAnsi="楷体" w:eastAsia="楷体"/>
          <w:spacing w:val="-4"/>
          <w:sz w:val="32"/>
          <w:szCs w:val="32"/>
        </w:rPr>
        <w:t>（一）项目资金安排落实、总投入等情况分析</w:t>
      </w:r>
    </w:p>
    <w:p>
      <w:pPr>
        <w:spacing w:line="540" w:lineRule="exact"/>
        <w:ind w:firstLine="640" w:firstLineChars="200"/>
        <w:rPr>
          <w:rStyle w:val="18"/>
          <w:rFonts w:ascii="仿宋" w:hAnsi="仿宋" w:eastAsia="仿宋"/>
          <w:b w:val="0"/>
          <w:spacing w:val="-4"/>
          <w:sz w:val="32"/>
          <w:szCs w:val="32"/>
        </w:rPr>
      </w:pPr>
      <w:r>
        <w:rPr>
          <w:rFonts w:hint="eastAsia" w:ascii="仿宋" w:hAnsi="仿宋" w:eastAsia="仿宋" w:cs="Times New Roman"/>
          <w:color w:val="auto"/>
          <w:kern w:val="2"/>
          <w:sz w:val="32"/>
          <w:szCs w:val="32"/>
          <w:shd w:val="clear" w:color="auto" w:fill="auto"/>
          <w:lang w:val="en-US" w:eastAsia="zh-CN" w:bidi="ar-SA"/>
        </w:rPr>
        <w:t>该项目</w:t>
      </w:r>
      <w:r>
        <w:rPr>
          <w:rFonts w:hint="eastAsia" w:ascii="仿宋" w:hAnsi="仿宋" w:eastAsia="仿宋"/>
          <w:color w:val="auto"/>
          <w:sz w:val="32"/>
          <w:szCs w:val="32"/>
          <w:shd w:val="clear" w:color="auto" w:fill="auto"/>
          <w:lang w:val="en-US" w:eastAsia="zh-CN"/>
        </w:rPr>
        <w:t>预算安排总额为15万元，其中财政资金15万元，2018年实际收到预算资金15万元。</w:t>
      </w:r>
    </w:p>
    <w:p>
      <w:pPr>
        <w:numPr>
          <w:ilvl w:val="0"/>
          <w:numId w:val="2"/>
        </w:num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项目资金实际使用情况分析</w:t>
      </w:r>
    </w:p>
    <w:p>
      <w:pPr>
        <w:spacing w:line="540" w:lineRule="exact"/>
        <w:rPr>
          <w:rStyle w:val="18"/>
          <w:rFonts w:ascii="仿宋" w:hAnsi="仿宋" w:eastAsia="仿宋"/>
          <w:b w:val="0"/>
          <w:bCs w:val="0"/>
          <w:spacing w:val="-4"/>
          <w:sz w:val="32"/>
          <w:szCs w:val="32"/>
        </w:rPr>
      </w:pPr>
      <w:r>
        <w:rPr>
          <w:rStyle w:val="18"/>
          <w:rFonts w:hint="eastAsia" w:ascii="仿宋" w:hAnsi="仿宋" w:eastAsia="仿宋"/>
          <w:b w:val="0"/>
          <w:bCs w:val="0"/>
          <w:spacing w:val="-4"/>
          <w:sz w:val="32"/>
          <w:szCs w:val="32"/>
        </w:rPr>
        <w:t xml:space="preserve">    </w:t>
      </w:r>
      <w:r>
        <w:rPr>
          <w:rFonts w:hint="eastAsia" w:ascii="仿宋" w:hAnsi="仿宋" w:eastAsia="仿宋"/>
          <w:bCs/>
          <w:color w:val="auto"/>
          <w:spacing w:val="-4"/>
          <w:sz w:val="32"/>
          <w:szCs w:val="32"/>
          <w:shd w:val="clear" w:color="auto" w:fill="auto"/>
          <w:lang w:val="en-US" w:eastAsia="zh-CN"/>
        </w:rPr>
        <w:t>截止2018年12月，本项目实际支付资金0万元，预算执行率为0%。</w:t>
      </w:r>
      <w:r>
        <w:rPr>
          <w:rStyle w:val="18"/>
          <w:rFonts w:hint="eastAsia" w:ascii="仿宋" w:hAnsi="仿宋" w:eastAsia="仿宋"/>
          <w:b w:val="0"/>
          <w:bCs w:val="0"/>
          <w:spacing w:val="-4"/>
          <w:sz w:val="32"/>
          <w:szCs w:val="32"/>
        </w:rPr>
        <w:t>因工作人员受到出入境指标限制，始终无法出入境，项目未执行，从而使此项目无限期搁浅。</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全部来自财政拨款，专款专用。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本项目用于消除安全隐患，保障驻外商贸联络处比什凯克商贸工作站工作正常运转，由本部门提交实施方案和预算报告，由开发区党工委会议通过。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360" w:lineRule="auto"/>
        <w:ind w:firstLine="640" w:firstLineChars="200"/>
        <w:rPr>
          <w:rFonts w:ascii="仿宋" w:hAnsi="仿宋" w:eastAsia="仿宋"/>
          <w:sz w:val="32"/>
          <w:szCs w:val="32"/>
        </w:rPr>
      </w:pPr>
      <w:r>
        <w:rPr>
          <w:rFonts w:hint="eastAsia" w:ascii="仿宋" w:hAnsi="仿宋" w:eastAsia="仿宋"/>
          <w:sz w:val="32"/>
          <w:szCs w:val="32"/>
        </w:rPr>
        <w:t>由于该项目未实施，从而未进行跟踪管理。</w:t>
      </w:r>
    </w:p>
    <w:p>
      <w:pPr>
        <w:spacing w:line="540" w:lineRule="exact"/>
        <w:ind w:firstLine="624" w:firstLineChars="20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hint="eastAsia"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9</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20</w:t>
      </w:r>
      <w:r>
        <w:rPr>
          <w:rFonts w:ascii="仿宋" w:hAnsi="仿宋" w:eastAsia="仿宋"/>
          <w:bCs/>
          <w:color w:val="auto"/>
          <w:spacing w:val="-4"/>
          <w:sz w:val="32"/>
          <w:szCs w:val="32"/>
        </w:rPr>
        <w:t>个</w:t>
      </w:r>
      <w:r>
        <w:rPr>
          <w:rFonts w:hint="eastAsia" w:ascii="仿宋" w:hAnsi="仿宋" w:eastAsia="仿宋"/>
          <w:bCs/>
          <w:color w:val="auto"/>
          <w:spacing w:val="-4"/>
          <w:sz w:val="32"/>
          <w:szCs w:val="32"/>
        </w:rPr>
        <w:t>，其中</w:t>
      </w:r>
      <w:r>
        <w:rPr>
          <w:rFonts w:ascii="仿宋" w:hAnsi="仿宋" w:eastAsia="仿宋"/>
          <w:bCs/>
          <w:color w:val="auto"/>
          <w:spacing w:val="-4"/>
          <w:sz w:val="32"/>
          <w:szCs w:val="32"/>
        </w:rPr>
        <w:t>已完成三级指标</w:t>
      </w:r>
      <w:r>
        <w:rPr>
          <w:rFonts w:hint="eastAsia" w:ascii="仿宋" w:hAnsi="仿宋" w:eastAsia="仿宋"/>
          <w:bCs/>
          <w:color w:val="auto"/>
          <w:spacing w:val="-4"/>
          <w:sz w:val="32"/>
          <w:szCs w:val="32"/>
          <w:lang w:val="en-US" w:eastAsia="zh-CN"/>
        </w:rPr>
        <w:t>0</w:t>
      </w:r>
      <w:r>
        <w:rPr>
          <w:rFonts w:ascii="仿宋" w:hAnsi="仿宋" w:eastAsia="仿宋"/>
          <w:bCs/>
          <w:color w:val="auto"/>
          <w:spacing w:val="-4"/>
          <w:sz w:val="32"/>
          <w:szCs w:val="32"/>
        </w:rPr>
        <w:t>个</w:t>
      </w:r>
      <w:r>
        <w:rPr>
          <w:rFonts w:hint="eastAsia" w:ascii="仿宋" w:hAnsi="仿宋" w:eastAsia="仿宋"/>
          <w:bCs/>
          <w:color w:val="auto"/>
          <w:spacing w:val="-4"/>
          <w:sz w:val="32"/>
          <w:szCs w:val="32"/>
        </w:rPr>
        <w:t>，指标完成率为</w:t>
      </w:r>
      <w:r>
        <w:rPr>
          <w:rFonts w:hint="eastAsia" w:ascii="仿宋" w:hAnsi="仿宋" w:eastAsia="仿宋"/>
          <w:bCs/>
          <w:color w:val="auto"/>
          <w:spacing w:val="-4"/>
          <w:sz w:val="32"/>
          <w:szCs w:val="32"/>
          <w:lang w:val="en-US" w:eastAsia="zh-CN"/>
        </w:rPr>
        <w:t>0</w:t>
      </w:r>
      <w:r>
        <w:rPr>
          <w:rFonts w:hint="eastAsia" w:ascii="仿宋" w:hAnsi="仿宋" w:eastAsia="仿宋"/>
          <w:bCs/>
          <w:color w:val="auto"/>
          <w:spacing w:val="-4"/>
          <w:sz w:val="32"/>
          <w:szCs w:val="32"/>
        </w:rPr>
        <w:t>%。</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（二）项目绩效目标未完成原因分析</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color w:val="auto"/>
          <w:spacing w:val="-4"/>
          <w:sz w:val="32"/>
          <w:szCs w:val="32"/>
        </w:rPr>
        <w:t>2018年本项目</w:t>
      </w:r>
      <w:r>
        <w:rPr>
          <w:rFonts w:hint="eastAsia" w:ascii="仿宋" w:hAnsi="仿宋" w:eastAsia="仿宋"/>
          <w:color w:val="auto"/>
          <w:spacing w:val="-4"/>
          <w:sz w:val="32"/>
          <w:szCs w:val="32"/>
          <w:lang w:val="en-US" w:eastAsia="zh-CN"/>
        </w:rPr>
        <w:t>未实施。</w:t>
      </w:r>
    </w:p>
    <w:p>
      <w:pPr>
        <w:numPr>
          <w:ilvl w:val="0"/>
          <w:numId w:val="3"/>
        </w:num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项目绩效目标未完成原因分析</w:t>
      </w:r>
    </w:p>
    <w:p>
      <w:pPr>
        <w:spacing w:line="360" w:lineRule="auto"/>
        <w:ind w:firstLine="624" w:firstLineChars="200"/>
        <w:rPr>
          <w:rFonts w:ascii="仿宋" w:hAnsi="仿宋" w:eastAsia="仿宋"/>
          <w:bCs/>
          <w:spacing w:val="-4"/>
          <w:sz w:val="32"/>
          <w:szCs w:val="32"/>
        </w:rPr>
      </w:pPr>
      <w:r>
        <w:rPr>
          <w:rFonts w:hint="eastAsia" w:ascii="仿宋" w:hAnsi="仿宋" w:eastAsia="仿宋"/>
          <w:bCs/>
          <w:spacing w:val="-4"/>
          <w:sz w:val="32"/>
          <w:szCs w:val="32"/>
        </w:rPr>
        <w:t>由于自治区外办对因公出国人员的严格限制，导至项目无法实施。</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360" w:lineRule="auto"/>
        <w:ind w:firstLine="624" w:firstLineChars="200"/>
        <w:rPr>
          <w:rFonts w:ascii="仿宋" w:hAnsi="仿宋" w:eastAsia="仿宋"/>
          <w:bCs/>
          <w:spacing w:val="-4"/>
          <w:sz w:val="32"/>
          <w:szCs w:val="32"/>
        </w:rPr>
      </w:pPr>
      <w:r>
        <w:rPr>
          <w:rFonts w:hint="eastAsia" w:ascii="仿宋" w:hAnsi="仿宋" w:eastAsia="仿宋"/>
          <w:bCs/>
          <w:spacing w:val="-4"/>
          <w:sz w:val="32"/>
          <w:szCs w:val="32"/>
        </w:rPr>
        <w:t>加强项目可行性研究和预算管理；加强对社会大环境的把控。</w:t>
      </w:r>
    </w:p>
    <w:p>
      <w:pPr>
        <w:numPr>
          <w:ilvl w:val="0"/>
          <w:numId w:val="4"/>
        </w:num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主要经验及做法、存在问题和建议</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存在的问题与建议：</w:t>
      </w:r>
    </w:p>
    <w:p>
      <w:pPr>
        <w:spacing w:line="360" w:lineRule="auto"/>
        <w:ind w:firstLine="624" w:firstLineChars="200"/>
        <w:rPr>
          <w:rFonts w:ascii="仿宋" w:hAnsi="仿宋" w:eastAsia="仿宋"/>
          <w:bCs/>
          <w:spacing w:val="-4"/>
          <w:sz w:val="32"/>
          <w:szCs w:val="32"/>
        </w:rPr>
      </w:pPr>
      <w:r>
        <w:rPr>
          <w:rFonts w:hint="eastAsia" w:ascii="仿宋" w:hAnsi="仿宋" w:eastAsia="仿宋"/>
          <w:bCs/>
          <w:spacing w:val="-4"/>
          <w:sz w:val="32"/>
          <w:szCs w:val="32"/>
        </w:rPr>
        <w:t>急需补充工作人员 ，重视人才培养；开发区与自治区外办对接解决因公出国人员的指标。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spacing w:line="540" w:lineRule="exact"/>
        <w:ind w:firstLine="640"/>
        <w:rPr>
          <w:rFonts w:ascii="仿宋_GB2312" w:eastAsia="仿宋_GB2312"/>
          <w:spacing w:val="-4"/>
          <w:sz w:val="32"/>
          <w:szCs w:val="32"/>
        </w:rPr>
      </w:pPr>
      <w:r>
        <w:rPr>
          <w:rFonts w:hint="eastAsia" w:ascii="仿宋_GB2312" w:eastAsia="仿宋_GB2312"/>
          <w:spacing w:val="-4"/>
          <w:sz w:val="32"/>
          <w:szCs w:val="32"/>
        </w:rPr>
        <w:t>以上数据来源于部门2018年度预算和决算，结合单位实际情况和现有资料作出上述自评报告。</w:t>
      </w:r>
    </w:p>
    <w:p>
      <w:pPr>
        <w:numPr>
          <w:ilvl w:val="0"/>
          <w:numId w:val="5"/>
        </w:num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《自治区财政项目支出绩效自评表》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Theme="minorEastAsia" w:hAnsiTheme="minorEastAsia" w:eastAsiaTheme="minorEastAsia"/>
          <w:b w:val="0"/>
          <w:spacing w:val="-4"/>
          <w:sz w:val="20"/>
          <w:szCs w:val="32"/>
        </w:rPr>
      </w:pPr>
    </w:p>
    <w:sectPr>
      <w:footerReference r:id="rId3" w:type="default"/>
      <w:pgSz w:w="11906" w:h="16838"/>
      <w:pgMar w:top="1440" w:right="1558"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6</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FE0990"/>
    <w:multiLevelType w:val="singleLevel"/>
    <w:tmpl w:val="BAFE0990"/>
    <w:lvl w:ilvl="0" w:tentative="0">
      <w:start w:val="2"/>
      <w:numFmt w:val="chineseCounting"/>
      <w:suff w:val="nothing"/>
      <w:lvlText w:val="%1、"/>
      <w:lvlJc w:val="left"/>
      <w:rPr>
        <w:rFonts w:hint="eastAsia"/>
      </w:rPr>
    </w:lvl>
  </w:abstractNum>
  <w:abstractNum w:abstractNumId="1">
    <w:nsid w:val="C9330A14"/>
    <w:multiLevelType w:val="singleLevel"/>
    <w:tmpl w:val="C9330A14"/>
    <w:lvl w:ilvl="0" w:tentative="0">
      <w:start w:val="7"/>
      <w:numFmt w:val="chineseCounting"/>
      <w:suff w:val="nothing"/>
      <w:lvlText w:val="%1、"/>
      <w:lvlJc w:val="left"/>
      <w:rPr>
        <w:rFonts w:hint="eastAsia"/>
      </w:rPr>
    </w:lvl>
  </w:abstractNum>
  <w:abstractNum w:abstractNumId="2">
    <w:nsid w:val="CB91603C"/>
    <w:multiLevelType w:val="singleLevel"/>
    <w:tmpl w:val="CB91603C"/>
    <w:lvl w:ilvl="0" w:tentative="0">
      <w:start w:val="2"/>
      <w:numFmt w:val="chineseCounting"/>
      <w:suff w:val="nothing"/>
      <w:lvlText w:val="（%1）"/>
      <w:lvlJc w:val="left"/>
      <w:rPr>
        <w:rFonts w:hint="eastAsia"/>
      </w:rPr>
    </w:lvl>
  </w:abstractNum>
  <w:abstractNum w:abstractNumId="3">
    <w:nsid w:val="26032799"/>
    <w:multiLevelType w:val="singleLevel"/>
    <w:tmpl w:val="26032799"/>
    <w:lvl w:ilvl="0" w:tentative="0">
      <w:start w:val="2"/>
      <w:numFmt w:val="chineseCounting"/>
      <w:suff w:val="nothing"/>
      <w:lvlText w:val="（%1）"/>
      <w:lvlJc w:val="left"/>
      <w:rPr>
        <w:rFonts w:hint="eastAsia"/>
      </w:rPr>
    </w:lvl>
  </w:abstractNum>
  <w:abstractNum w:abstractNumId="4">
    <w:nsid w:val="36C58AB4"/>
    <w:multiLevelType w:val="singleLevel"/>
    <w:tmpl w:val="36C58AB4"/>
    <w:lvl w:ilvl="0" w:tentative="0">
      <w:start w:val="2"/>
      <w:numFmt w:val="chineseCounting"/>
      <w:suff w:val="nothing"/>
      <w:lvlText w:val="（%1）"/>
      <w:lvlJc w:val="left"/>
      <w:rPr>
        <w:rFonts w:hint="eastAsia"/>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04AE"/>
    <w:rsid w:val="00056465"/>
    <w:rsid w:val="000C18E9"/>
    <w:rsid w:val="000F6999"/>
    <w:rsid w:val="00121AE4"/>
    <w:rsid w:val="00124782"/>
    <w:rsid w:val="00146AAD"/>
    <w:rsid w:val="001B3A40"/>
    <w:rsid w:val="002049A2"/>
    <w:rsid w:val="00254D3E"/>
    <w:rsid w:val="0036514A"/>
    <w:rsid w:val="004366A8"/>
    <w:rsid w:val="00502BA7"/>
    <w:rsid w:val="005162F1"/>
    <w:rsid w:val="00535153"/>
    <w:rsid w:val="005373BD"/>
    <w:rsid w:val="00554F82"/>
    <w:rsid w:val="0056390D"/>
    <w:rsid w:val="005719B0"/>
    <w:rsid w:val="005D10D6"/>
    <w:rsid w:val="00607FEF"/>
    <w:rsid w:val="00714E7E"/>
    <w:rsid w:val="008444BC"/>
    <w:rsid w:val="00855E3A"/>
    <w:rsid w:val="008E5AEC"/>
    <w:rsid w:val="00922CB9"/>
    <w:rsid w:val="009E5CD9"/>
    <w:rsid w:val="009E6132"/>
    <w:rsid w:val="00A26421"/>
    <w:rsid w:val="00A4293B"/>
    <w:rsid w:val="00A67D50"/>
    <w:rsid w:val="00A73BFF"/>
    <w:rsid w:val="00A8691A"/>
    <w:rsid w:val="00AC1946"/>
    <w:rsid w:val="00B0537E"/>
    <w:rsid w:val="00B40063"/>
    <w:rsid w:val="00B41F61"/>
    <w:rsid w:val="00BA46E6"/>
    <w:rsid w:val="00BD771B"/>
    <w:rsid w:val="00C56C72"/>
    <w:rsid w:val="00CA6457"/>
    <w:rsid w:val="00CB2D53"/>
    <w:rsid w:val="00D17F2E"/>
    <w:rsid w:val="00D30354"/>
    <w:rsid w:val="00DF42A0"/>
    <w:rsid w:val="00E539B8"/>
    <w:rsid w:val="00E769FE"/>
    <w:rsid w:val="00EA2CBE"/>
    <w:rsid w:val="00EA4EEA"/>
    <w:rsid w:val="00F32FEE"/>
    <w:rsid w:val="00FB10BB"/>
    <w:rsid w:val="00FF24A5"/>
    <w:rsid w:val="02455625"/>
    <w:rsid w:val="025019CE"/>
    <w:rsid w:val="049E622F"/>
    <w:rsid w:val="0B5F57E4"/>
    <w:rsid w:val="0C5A2300"/>
    <w:rsid w:val="0CA87218"/>
    <w:rsid w:val="0CCE0CD5"/>
    <w:rsid w:val="0CF778EB"/>
    <w:rsid w:val="0DDC4B5F"/>
    <w:rsid w:val="129B6B87"/>
    <w:rsid w:val="12AE33FF"/>
    <w:rsid w:val="137563F9"/>
    <w:rsid w:val="162037EC"/>
    <w:rsid w:val="17F90721"/>
    <w:rsid w:val="18B86DF3"/>
    <w:rsid w:val="192A6A64"/>
    <w:rsid w:val="1B18035D"/>
    <w:rsid w:val="1BDC1981"/>
    <w:rsid w:val="1E2562D2"/>
    <w:rsid w:val="220F73F1"/>
    <w:rsid w:val="259C687B"/>
    <w:rsid w:val="25DB3D81"/>
    <w:rsid w:val="27596555"/>
    <w:rsid w:val="283450B0"/>
    <w:rsid w:val="29C447ED"/>
    <w:rsid w:val="2AF67669"/>
    <w:rsid w:val="2D361606"/>
    <w:rsid w:val="2EEC0A0D"/>
    <w:rsid w:val="31764381"/>
    <w:rsid w:val="331E4EF0"/>
    <w:rsid w:val="33BD1D07"/>
    <w:rsid w:val="37CD793E"/>
    <w:rsid w:val="3BB96E3B"/>
    <w:rsid w:val="3E226084"/>
    <w:rsid w:val="413E18C5"/>
    <w:rsid w:val="42800C25"/>
    <w:rsid w:val="451F2E71"/>
    <w:rsid w:val="49A74440"/>
    <w:rsid w:val="505B7F15"/>
    <w:rsid w:val="50F87AA6"/>
    <w:rsid w:val="55753F47"/>
    <w:rsid w:val="565C15D0"/>
    <w:rsid w:val="56BF013B"/>
    <w:rsid w:val="57437373"/>
    <w:rsid w:val="5AD13A60"/>
    <w:rsid w:val="5B0C038E"/>
    <w:rsid w:val="5BCD01D1"/>
    <w:rsid w:val="5D4C5805"/>
    <w:rsid w:val="60206527"/>
    <w:rsid w:val="62371E65"/>
    <w:rsid w:val="670652B8"/>
    <w:rsid w:val="68A93A78"/>
    <w:rsid w:val="692749EA"/>
    <w:rsid w:val="6BC93D93"/>
    <w:rsid w:val="6C796BF4"/>
    <w:rsid w:val="6D1662A7"/>
    <w:rsid w:val="70A348D6"/>
    <w:rsid w:val="710B32F0"/>
    <w:rsid w:val="71B11630"/>
    <w:rsid w:val="72822A9E"/>
    <w:rsid w:val="74C8561A"/>
    <w:rsid w:val="76F53574"/>
    <w:rsid w:val="77027A9A"/>
    <w:rsid w:val="77B35050"/>
    <w:rsid w:val="78FC5AB7"/>
    <w:rsid w:val="7ADE0CF8"/>
    <w:rsid w:val="7CD74C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348</Words>
  <Characters>1985</Characters>
  <Lines>16</Lines>
  <Paragraphs>4</Paragraphs>
  <TotalTime>2</TotalTime>
  <ScaleCrop>false</ScaleCrop>
  <LinksUpToDate>false</LinksUpToDate>
  <CharactersWithSpaces>2329</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angelia</cp:lastModifiedBy>
  <cp:lastPrinted>2018-12-31T10:56:00Z</cp:lastPrinted>
  <dcterms:modified xsi:type="dcterms:W3CDTF">2019-10-26T05:09:20Z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