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中共喀什经济开发区纪律检查工作委员会2024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CB15788">
      <w:r>
        <w:br w:type="page"/>
      </w:r>
    </w:p>
    <w:p w14:paraId="33C3E465">
      <w:pPr>
        <w:spacing w:line="640" w:lineRule="exact"/>
        <w:jc w:val="center"/>
        <w:outlineLvl w:val="1"/>
      </w:pPr>
      <w:r>
        <w:rPr>
          <w:rFonts w:ascii="黑体" w:hAnsi="黑体" w:eastAsia="黑体"/>
          <w:sz w:val="32"/>
        </w:rPr>
        <w:t>第一部分 单位概况</w:t>
      </w:r>
    </w:p>
    <w:p w14:paraId="78E70D67">
      <w:pPr>
        <w:spacing w:line="640" w:lineRule="exact"/>
        <w:ind w:firstLine="640"/>
        <w:jc w:val="both"/>
        <w:outlineLvl w:val="2"/>
      </w:pPr>
      <w:r>
        <w:rPr>
          <w:rFonts w:ascii="黑体" w:hAnsi="黑体" w:eastAsia="黑体"/>
          <w:sz w:val="32"/>
        </w:rPr>
        <w:t>一、主要职能</w:t>
      </w:r>
    </w:p>
    <w:p w14:paraId="378107EB">
      <w:pPr>
        <w:spacing w:line="580" w:lineRule="exact"/>
        <w:ind w:firstLine="640"/>
        <w:jc w:val="both"/>
      </w:pPr>
      <w:r>
        <w:rPr>
          <w:rFonts w:ascii="仿宋_GB2312" w:hAnsi="仿宋_GB2312" w:eastAsia="仿宋_GB2312"/>
          <w:sz w:val="32"/>
        </w:rPr>
        <w:t>负责党的纪律检查工作，监督检查党的路线、方针、政策、决议和国家政策、法律、法规以及党工委、管委会的重大决策、决议的执行情况；按照干部管理权限履行监督、执纪、问责职责，审查和处理党组织、党员、行政机关、监察对象违反</w:t>
      </w:r>
      <w:r>
        <w:rPr>
          <w:rFonts w:hint="eastAsia" w:ascii="仿宋_GB2312" w:hAnsi="仿宋_GB2312" w:eastAsia="仿宋_GB2312"/>
          <w:sz w:val="32"/>
          <w:lang w:eastAsia="zh-CN"/>
        </w:rPr>
        <w:t>党</w:t>
      </w:r>
      <w:r>
        <w:rPr>
          <w:rFonts w:ascii="仿宋_GB2312" w:hAnsi="仿宋_GB2312" w:eastAsia="仿宋_GB2312"/>
          <w:sz w:val="32"/>
        </w:rPr>
        <w:t>和国家政策、法律法规的案件；依法监察公职人员行使公权力情况，调查和处理职务违法和职务犯罪；处理党组织、党员和行政机关人员的检举、申诉和控告；处理反映纪检、监察对象的来信来访，承办上级机关和领导交办的信访案件；会同有关部门开展纠正部门及行业不正之风的工作；协助党工委推进全面从严治党、加强党风廉政建设和组织协调反腐败工作；负责审计工作；承办开发区党工委、管委会及地区纪委监委交办的其他事项。</w:t>
      </w:r>
    </w:p>
    <w:p w14:paraId="726FA451">
      <w:pPr>
        <w:spacing w:line="640" w:lineRule="exact"/>
        <w:ind w:firstLine="640"/>
        <w:jc w:val="both"/>
        <w:outlineLvl w:val="2"/>
      </w:pPr>
      <w:r>
        <w:rPr>
          <w:rFonts w:ascii="黑体" w:hAnsi="黑体" w:eastAsia="黑体"/>
          <w:sz w:val="32"/>
        </w:rPr>
        <w:t>二、机构设置及人员情况</w:t>
      </w:r>
    </w:p>
    <w:p w14:paraId="6BE4FBC7">
      <w:pPr>
        <w:spacing w:line="580" w:lineRule="exact"/>
        <w:ind w:firstLine="640"/>
        <w:jc w:val="both"/>
      </w:pPr>
      <w:r>
        <w:rPr>
          <w:rFonts w:ascii="仿宋_GB2312" w:hAnsi="仿宋_GB2312" w:eastAsia="仿宋_GB2312"/>
          <w:sz w:val="32"/>
        </w:rPr>
        <w:t>中共喀什经济开发区纪律检查工作委员会2024年度，实有人数7人，其中：在职人员7人，增加0人；离休人员0人，增加0人；退休人员0人,增加0人。</w:t>
      </w:r>
    </w:p>
    <w:p w14:paraId="2E5B9B1B">
      <w:pPr>
        <w:spacing w:line="580" w:lineRule="exact"/>
        <w:ind w:firstLine="640"/>
        <w:jc w:val="both"/>
      </w:pPr>
      <w:r>
        <w:rPr>
          <w:rFonts w:ascii="仿宋_GB2312" w:hAnsi="仿宋_GB2312" w:eastAsia="仿宋_GB2312"/>
          <w:sz w:val="32"/>
        </w:rPr>
        <w:t>中共喀什经济开发区纪律检查工作委员会无下属预算单位，下设5个科室，分别是：秘书科、综合科、机要档案科、督查科、综合服务中心。</w:t>
      </w:r>
    </w:p>
    <w:p w14:paraId="22ABD6DB">
      <w:r>
        <w:br w:type="page"/>
      </w:r>
    </w:p>
    <w:p w14:paraId="39BAA41C">
      <w:pPr>
        <w:spacing w:line="240" w:lineRule="auto"/>
        <w:jc w:val="center"/>
        <w:outlineLvl w:val="1"/>
      </w:pPr>
      <w:r>
        <w:rPr>
          <w:rFonts w:ascii="黑体" w:hAnsi="黑体" w:eastAsia="黑体"/>
          <w:sz w:val="32"/>
        </w:rPr>
        <w:t>第二部分 部门决算情况说明</w:t>
      </w:r>
    </w:p>
    <w:p w14:paraId="7339C6AA">
      <w:pPr>
        <w:spacing w:line="640" w:lineRule="exact"/>
        <w:ind w:firstLine="640"/>
        <w:jc w:val="both"/>
        <w:outlineLvl w:val="2"/>
      </w:pPr>
      <w:r>
        <w:rPr>
          <w:rFonts w:ascii="黑体" w:hAnsi="黑体" w:eastAsia="黑体"/>
          <w:sz w:val="32"/>
        </w:rPr>
        <w:t>一、收入支出决算总体情况说明</w:t>
      </w:r>
    </w:p>
    <w:p w14:paraId="0B64A6DC">
      <w:pPr>
        <w:spacing w:line="580" w:lineRule="exact"/>
        <w:ind w:firstLine="640"/>
        <w:jc w:val="both"/>
      </w:pPr>
      <w:r>
        <w:rPr>
          <w:rFonts w:ascii="仿宋_GB2312" w:hAnsi="仿宋_GB2312" w:eastAsia="仿宋_GB2312"/>
          <w:b/>
          <w:sz w:val="32"/>
        </w:rPr>
        <w:t>2024年度收入总计201.63万元，</w:t>
      </w:r>
      <w:r>
        <w:rPr>
          <w:rFonts w:ascii="仿宋_GB2312" w:hAnsi="仿宋_GB2312" w:eastAsia="仿宋_GB2312"/>
          <w:b w:val="0"/>
          <w:sz w:val="32"/>
        </w:rPr>
        <w:t>其中：本年收入合计201.63万元，使用非财政拨款结余（含专用结余）0.00万元，年初结转和结余0.00万元。</w:t>
      </w:r>
    </w:p>
    <w:p w14:paraId="47727046">
      <w:pPr>
        <w:spacing w:line="580" w:lineRule="exact"/>
        <w:ind w:firstLine="640"/>
        <w:jc w:val="both"/>
      </w:pPr>
      <w:r>
        <w:rPr>
          <w:rFonts w:ascii="仿宋_GB2312" w:hAnsi="仿宋_GB2312" w:eastAsia="仿宋_GB2312"/>
          <w:b/>
          <w:sz w:val="32"/>
        </w:rPr>
        <w:t>2024年度支出总计201.63万元，</w:t>
      </w:r>
      <w:r>
        <w:rPr>
          <w:rFonts w:ascii="仿宋_GB2312" w:hAnsi="仿宋_GB2312" w:eastAsia="仿宋_GB2312"/>
          <w:b w:val="0"/>
          <w:sz w:val="32"/>
        </w:rPr>
        <w:t>其中：本年支出合计201.63万元，结余分配0.00万元，年末结转和结余0.00万元。</w:t>
      </w:r>
    </w:p>
    <w:p w14:paraId="77442C38">
      <w:pPr>
        <w:spacing w:line="580" w:lineRule="exact"/>
        <w:ind w:firstLine="640"/>
        <w:jc w:val="both"/>
      </w:pPr>
      <w:r>
        <w:rPr>
          <w:rFonts w:ascii="仿宋_GB2312" w:hAnsi="仿宋_GB2312" w:eastAsia="仿宋_GB2312"/>
          <w:b w:val="0"/>
          <w:sz w:val="32"/>
        </w:rPr>
        <w:t>收入支出总体与上年相比，增加33.50万元，增长19.93%，主要原因是：本年在职人员工资调增，社保、公积金基数调增，人员经费增加。本年新增长聘人员，故其他工资福利支出增加。</w:t>
      </w:r>
    </w:p>
    <w:p w14:paraId="7D9AAEAA">
      <w:pPr>
        <w:spacing w:line="640" w:lineRule="exact"/>
        <w:ind w:firstLine="640"/>
        <w:jc w:val="both"/>
        <w:outlineLvl w:val="2"/>
      </w:pPr>
      <w:r>
        <w:rPr>
          <w:rFonts w:ascii="黑体" w:hAnsi="黑体" w:eastAsia="黑体"/>
          <w:sz w:val="32"/>
        </w:rPr>
        <w:t>二、收入决算情况说明</w:t>
      </w:r>
    </w:p>
    <w:p w14:paraId="75E46863">
      <w:pPr>
        <w:spacing w:line="580" w:lineRule="exact"/>
        <w:ind w:firstLine="640"/>
        <w:jc w:val="both"/>
      </w:pPr>
      <w:r>
        <w:rPr>
          <w:rFonts w:ascii="仿宋_GB2312" w:hAnsi="仿宋_GB2312" w:eastAsia="仿宋_GB2312"/>
          <w:b/>
          <w:sz w:val="32"/>
        </w:rPr>
        <w:t>本年收入201.63万元，</w:t>
      </w:r>
      <w:r>
        <w:rPr>
          <w:rFonts w:ascii="仿宋_GB2312" w:hAnsi="仿宋_GB2312" w:eastAsia="仿宋_GB2312"/>
          <w:b w:val="0"/>
          <w:sz w:val="32"/>
        </w:rPr>
        <w:t>其中：财政拨款收入201.63万元，占100.00%；上级补助收入0.00万元，占0.00%；事业收入0.00万元，占0.00%；经营收入0.00万元，占0.00%；附属单位上缴收入0.00万元，占0.00%；其他收入0.00万元，占0.00%。</w:t>
      </w:r>
    </w:p>
    <w:p w14:paraId="4EEB3070">
      <w:pPr>
        <w:spacing w:line="640" w:lineRule="exact"/>
        <w:ind w:firstLine="640"/>
        <w:jc w:val="both"/>
        <w:outlineLvl w:val="2"/>
      </w:pPr>
      <w:r>
        <w:rPr>
          <w:rFonts w:ascii="黑体" w:hAnsi="黑体" w:eastAsia="黑体"/>
          <w:sz w:val="32"/>
        </w:rPr>
        <w:t>三、支出决算情况说明</w:t>
      </w:r>
    </w:p>
    <w:p w14:paraId="14F5E7C5">
      <w:pPr>
        <w:spacing w:line="580" w:lineRule="exact"/>
        <w:ind w:firstLine="640"/>
        <w:jc w:val="both"/>
      </w:pPr>
      <w:r>
        <w:rPr>
          <w:rFonts w:ascii="仿宋_GB2312" w:hAnsi="仿宋_GB2312" w:eastAsia="仿宋_GB2312"/>
          <w:b/>
          <w:sz w:val="32"/>
        </w:rPr>
        <w:t>本年支出201.63万元，</w:t>
      </w:r>
      <w:r>
        <w:rPr>
          <w:rFonts w:ascii="仿宋_GB2312" w:hAnsi="仿宋_GB2312" w:eastAsia="仿宋_GB2312"/>
          <w:b w:val="0"/>
          <w:sz w:val="32"/>
        </w:rPr>
        <w:t>其中：基本支出193.64万元，占96.04%；项目支出7.99万元，占3.96%；上缴上级支出0.00万元，占0.00%；经营支出0.00万元，占0.00%；对附属单位补助支出0.00万元，占0.00%。</w:t>
      </w:r>
    </w:p>
    <w:p w14:paraId="7845B5A1">
      <w:pPr>
        <w:spacing w:line="640" w:lineRule="exact"/>
        <w:ind w:firstLine="640"/>
        <w:jc w:val="both"/>
        <w:outlineLvl w:val="2"/>
      </w:pPr>
      <w:r>
        <w:rPr>
          <w:rFonts w:ascii="黑体" w:hAnsi="黑体" w:eastAsia="黑体"/>
          <w:sz w:val="32"/>
        </w:rPr>
        <w:t>四、财政拨款收入支出决算总体情况说明</w:t>
      </w:r>
    </w:p>
    <w:p w14:paraId="0C110B42">
      <w:pPr>
        <w:spacing w:line="580" w:lineRule="exact"/>
        <w:ind w:firstLine="640"/>
        <w:jc w:val="both"/>
      </w:pPr>
      <w:r>
        <w:rPr>
          <w:rFonts w:ascii="仿宋_GB2312" w:hAnsi="仿宋_GB2312" w:eastAsia="仿宋_GB2312"/>
          <w:b/>
          <w:sz w:val="32"/>
        </w:rPr>
        <w:t>2024年度财政拨款收入总计201.63万元，</w:t>
      </w:r>
      <w:r>
        <w:rPr>
          <w:rFonts w:ascii="仿宋_GB2312" w:hAnsi="仿宋_GB2312" w:eastAsia="仿宋_GB2312"/>
          <w:b w:val="0"/>
          <w:sz w:val="32"/>
        </w:rPr>
        <w:t>其中：年初财政拨款结转和结余0.00万元，本年财政拨款收入201.63万元。</w:t>
      </w:r>
      <w:r>
        <w:rPr>
          <w:rFonts w:ascii="仿宋_GB2312" w:hAnsi="仿宋_GB2312" w:eastAsia="仿宋_GB2312"/>
          <w:b/>
          <w:sz w:val="32"/>
        </w:rPr>
        <w:t>财政拨款支出总计201.63万元，</w:t>
      </w:r>
      <w:r>
        <w:rPr>
          <w:rFonts w:ascii="仿宋_GB2312" w:hAnsi="仿宋_GB2312" w:eastAsia="仿宋_GB2312"/>
          <w:b w:val="0"/>
          <w:sz w:val="32"/>
        </w:rPr>
        <w:t>其中：年末财政拨款结转和结余0.00万元，本年财政拨款支出201.63万元。</w:t>
      </w:r>
    </w:p>
    <w:p w14:paraId="14960D9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增加33.50万元，增长19.93%，主要原因是：本年在职人员工资调增，社保、公积金基数调增，人员经费增加。本年新增长聘人员，故其他工资福利支出增加。</w:t>
      </w:r>
      <w:r>
        <w:rPr>
          <w:rFonts w:ascii="仿宋_GB2312" w:hAnsi="仿宋_GB2312" w:eastAsia="仿宋_GB2312"/>
          <w:b/>
          <w:sz w:val="32"/>
        </w:rPr>
        <w:t>与年初预算相比，</w:t>
      </w:r>
      <w:r>
        <w:rPr>
          <w:rFonts w:ascii="仿宋_GB2312" w:hAnsi="仿宋_GB2312" w:eastAsia="仿宋_GB2312"/>
          <w:b w:val="0"/>
          <w:sz w:val="32"/>
        </w:rPr>
        <w:t>年初预算数171.58万元，决算数201.63万元，预决算差异率17.51%，主要原因是：本年新增长聘人员，年中追加人员经费及人员工资、社保、公积金基数调增部分资金。</w:t>
      </w:r>
    </w:p>
    <w:p w14:paraId="6D0744FC">
      <w:pPr>
        <w:spacing w:line="640" w:lineRule="exact"/>
        <w:ind w:firstLine="640"/>
        <w:jc w:val="both"/>
        <w:outlineLvl w:val="2"/>
      </w:pPr>
      <w:r>
        <w:rPr>
          <w:rFonts w:ascii="黑体" w:hAnsi="黑体" w:eastAsia="黑体"/>
          <w:sz w:val="32"/>
        </w:rPr>
        <w:t>五、一般公共预算财政拨款支出决算情况说明</w:t>
      </w:r>
    </w:p>
    <w:p w14:paraId="12C365DB">
      <w:pPr>
        <w:spacing w:line="640" w:lineRule="exact"/>
        <w:ind w:firstLine="640"/>
        <w:jc w:val="both"/>
        <w:outlineLvl w:val="3"/>
      </w:pPr>
      <w:r>
        <w:rPr>
          <w:rFonts w:ascii="楷体_GB2312" w:hAnsi="楷体_GB2312" w:eastAsia="楷体_GB2312"/>
          <w:b/>
          <w:sz w:val="32"/>
        </w:rPr>
        <w:t>（一）一般公共预算财政拨款支出决算总体情况</w:t>
      </w:r>
    </w:p>
    <w:p w14:paraId="496EFCD8">
      <w:pPr>
        <w:spacing w:line="580" w:lineRule="exact"/>
        <w:ind w:firstLine="640"/>
        <w:jc w:val="both"/>
      </w:pPr>
      <w:r>
        <w:rPr>
          <w:rFonts w:ascii="仿宋_GB2312" w:hAnsi="仿宋_GB2312" w:eastAsia="仿宋_GB2312"/>
          <w:b/>
          <w:sz w:val="32"/>
        </w:rPr>
        <w:t>2024年度一般公共预算财政拨款支出201.63万元，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增加33.50万元，增长19.93%，主要原因是：本年在职人员工资调增，社保、公积金基数调增，人员经费增加。本年新增长聘人员，故其他工资福利支出增加。</w:t>
      </w:r>
      <w:r>
        <w:rPr>
          <w:rFonts w:ascii="仿宋_GB2312" w:hAnsi="仿宋_GB2312" w:eastAsia="仿宋_GB2312"/>
          <w:b/>
          <w:sz w:val="32"/>
        </w:rPr>
        <w:t>与年初预算相比,</w:t>
      </w:r>
      <w:r>
        <w:rPr>
          <w:rFonts w:ascii="仿宋_GB2312" w:hAnsi="仿宋_GB2312" w:eastAsia="仿宋_GB2312"/>
          <w:b w:val="0"/>
          <w:sz w:val="32"/>
        </w:rPr>
        <w:t>年初预算数171.58万元，决算数201.63万元，预决算差异率17.51%，主要原因是：本年新增长聘人员，年中追加人员经费及人员工资、社保、公积金基数调增部分资金。</w:t>
      </w:r>
    </w:p>
    <w:p w14:paraId="501261EB">
      <w:pPr>
        <w:spacing w:line="640" w:lineRule="exact"/>
        <w:ind w:firstLine="640"/>
        <w:jc w:val="both"/>
        <w:outlineLvl w:val="3"/>
      </w:pPr>
      <w:r>
        <w:rPr>
          <w:rFonts w:ascii="楷体_GB2312" w:hAnsi="楷体_GB2312" w:eastAsia="楷体_GB2312"/>
          <w:b/>
          <w:sz w:val="32"/>
        </w:rPr>
        <w:t>（二）一般公共预算财政拨款支出决算结构情况</w:t>
      </w:r>
    </w:p>
    <w:p w14:paraId="650A8815">
      <w:pPr>
        <w:spacing w:line="580" w:lineRule="exact"/>
        <w:ind w:firstLine="640"/>
        <w:jc w:val="both"/>
      </w:pPr>
      <w:r>
        <w:rPr>
          <w:rFonts w:ascii="仿宋_GB2312" w:hAnsi="仿宋_GB2312" w:eastAsia="仿宋_GB2312"/>
          <w:b w:val="0"/>
          <w:sz w:val="32"/>
        </w:rPr>
        <w:t>1.一般公共服务支出(类)169.40万元,占84.02%。</w:t>
      </w:r>
    </w:p>
    <w:p w14:paraId="1D0CCB56">
      <w:pPr>
        <w:spacing w:line="580" w:lineRule="exact"/>
        <w:ind w:firstLine="640"/>
        <w:jc w:val="both"/>
      </w:pPr>
      <w:r>
        <w:rPr>
          <w:rFonts w:ascii="仿宋_GB2312" w:hAnsi="仿宋_GB2312" w:eastAsia="仿宋_GB2312"/>
          <w:b w:val="0"/>
          <w:sz w:val="32"/>
        </w:rPr>
        <w:t>2.社会保障和就业支出(类)13.62万元,占6.75%。</w:t>
      </w:r>
    </w:p>
    <w:p w14:paraId="542D3FCC">
      <w:pPr>
        <w:spacing w:line="580" w:lineRule="exact"/>
        <w:ind w:firstLine="640"/>
        <w:jc w:val="both"/>
      </w:pPr>
      <w:r>
        <w:rPr>
          <w:rFonts w:ascii="仿宋_GB2312" w:hAnsi="仿宋_GB2312" w:eastAsia="仿宋_GB2312"/>
          <w:b w:val="0"/>
          <w:sz w:val="32"/>
        </w:rPr>
        <w:t>3.卫生健康支出(类)7.49万元,占3.71%。</w:t>
      </w:r>
    </w:p>
    <w:p w14:paraId="74B05065">
      <w:pPr>
        <w:spacing w:line="580" w:lineRule="exact"/>
        <w:ind w:firstLine="640"/>
        <w:jc w:val="both"/>
      </w:pPr>
      <w:r>
        <w:rPr>
          <w:rFonts w:ascii="仿宋_GB2312" w:hAnsi="仿宋_GB2312" w:eastAsia="仿宋_GB2312"/>
          <w:b w:val="0"/>
          <w:sz w:val="32"/>
        </w:rPr>
        <w:t>4.住房保障支出(类)11.11万元,占5.51%。</w:t>
      </w:r>
    </w:p>
    <w:p w14:paraId="02A6F9CE">
      <w:pPr>
        <w:spacing w:line="640" w:lineRule="exact"/>
        <w:ind w:firstLine="640"/>
        <w:jc w:val="both"/>
        <w:outlineLvl w:val="3"/>
      </w:pPr>
      <w:r>
        <w:rPr>
          <w:rFonts w:ascii="楷体_GB2312" w:hAnsi="楷体_GB2312" w:eastAsia="楷体_GB2312"/>
          <w:b/>
          <w:sz w:val="32"/>
        </w:rPr>
        <w:t>（三）一般公共预算财政拨款支出决算具体情况</w:t>
      </w:r>
    </w:p>
    <w:p w14:paraId="7721F9EB">
      <w:pPr>
        <w:spacing w:line="580" w:lineRule="exact"/>
        <w:ind w:firstLine="640"/>
        <w:jc w:val="both"/>
      </w:pPr>
      <w:r>
        <w:rPr>
          <w:rFonts w:ascii="仿宋_GB2312" w:hAnsi="仿宋_GB2312" w:eastAsia="仿宋_GB2312"/>
          <w:b w:val="0"/>
          <w:sz w:val="32"/>
        </w:rPr>
        <w:t>1.一般公共服务支出(类)纪检监察事务(款)行政运行(项):支出决算数为161.41万元，比上年决算增加39.47万元，增长32.37%,主要原因是：本年在职人员工资调增，导致相关人员经费较上年有所增加。本年新增长聘人员，故其他工资福利支出增加。</w:t>
      </w:r>
    </w:p>
    <w:p w14:paraId="49B19D06">
      <w:pPr>
        <w:spacing w:line="580" w:lineRule="exact"/>
        <w:ind w:firstLine="640"/>
        <w:jc w:val="both"/>
      </w:pPr>
      <w:r>
        <w:rPr>
          <w:rFonts w:ascii="仿宋_GB2312" w:hAnsi="仿宋_GB2312" w:eastAsia="仿宋_GB2312"/>
          <w:b w:val="0"/>
          <w:sz w:val="32"/>
        </w:rPr>
        <w:t>2.一般公共服务支出(类)纪检监察事务(款)其他纪检监察事务支出(项):支出决算数为7.99万元，比上年决算增加0.02万元，增长0.25%,主要原因是：本年纪检专网建设项目资金较上年增加。</w:t>
      </w:r>
    </w:p>
    <w:p w14:paraId="7AEFC178">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13.62万元，比上年决算减少1.38万元，下降9.20%,主要原因是：本年在职人员调出，人员职级不同，缴费基数不同，导致养老保险缴费较上年减少。</w:t>
      </w:r>
    </w:p>
    <w:p w14:paraId="2743C864">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3.96万元，下降100.00%,主要原因是：本年无新增调出外县人员，导致职业年金缴费支出减少。</w:t>
      </w:r>
    </w:p>
    <w:p w14:paraId="14663457">
      <w:pPr>
        <w:spacing w:line="580" w:lineRule="exact"/>
        <w:ind w:firstLine="640"/>
        <w:jc w:val="both"/>
      </w:pPr>
      <w:r>
        <w:rPr>
          <w:rFonts w:ascii="仿宋_GB2312" w:hAnsi="仿宋_GB2312" w:eastAsia="仿宋_GB2312"/>
          <w:b w:val="0"/>
          <w:sz w:val="32"/>
        </w:rPr>
        <w:t>5.卫生健康支出(类)行政事业单位医疗(款)行政单位医疗(项):支出决算数为5.79万元，比上年决算减少0.59万元，下降9.25%,主要原因是：本年在职人员调出，人员职级不同，缴费基数不同，导致行政单位医疗较上年减少。</w:t>
      </w:r>
    </w:p>
    <w:p w14:paraId="73FC58D1">
      <w:pPr>
        <w:spacing w:line="580" w:lineRule="exact"/>
        <w:ind w:firstLine="640"/>
        <w:jc w:val="both"/>
      </w:pPr>
      <w:r>
        <w:rPr>
          <w:rFonts w:ascii="仿宋_GB2312" w:hAnsi="仿宋_GB2312" w:eastAsia="仿宋_GB2312"/>
          <w:b w:val="0"/>
          <w:sz w:val="32"/>
        </w:rPr>
        <w:t>6.卫生健康支出(类)行政事业单位医疗(款)公务员医疗补助(项):支出决算数为1.70万元，比上年决算增加0.18万元，增长11.84%,主要原因是：本年在职人员工资基数调增，医疗缴费基数上涨，相应支出增加。</w:t>
      </w:r>
    </w:p>
    <w:p w14:paraId="46016982">
      <w:pPr>
        <w:spacing w:line="580" w:lineRule="exact"/>
        <w:ind w:firstLine="640"/>
        <w:jc w:val="both"/>
      </w:pPr>
      <w:r>
        <w:rPr>
          <w:rFonts w:ascii="仿宋_GB2312" w:hAnsi="仿宋_GB2312" w:eastAsia="仿宋_GB2312"/>
          <w:b w:val="0"/>
          <w:sz w:val="32"/>
        </w:rPr>
        <w:t>7.住房保障支出(类)住房改革支出(款)住房公积金(项):支出决算数为11.11万元，比上年决算减少0.27万元，下降2.37%,主要原因是：本年在职人员调出，人员职级不同，缴费基数不同，导致住房公积金较上年减少。</w:t>
      </w:r>
    </w:p>
    <w:p w14:paraId="211BD6B8">
      <w:pPr>
        <w:spacing w:line="640" w:lineRule="exact"/>
        <w:ind w:firstLine="640"/>
        <w:jc w:val="both"/>
        <w:outlineLvl w:val="2"/>
      </w:pPr>
      <w:r>
        <w:rPr>
          <w:rFonts w:ascii="黑体" w:hAnsi="黑体" w:eastAsia="黑体"/>
          <w:sz w:val="32"/>
        </w:rPr>
        <w:t>六、一般公共预算财政拨款基本支出决算情况说明</w:t>
      </w:r>
    </w:p>
    <w:p w14:paraId="46122F0C">
      <w:pPr>
        <w:spacing w:line="580" w:lineRule="exact"/>
        <w:ind w:firstLine="640"/>
        <w:jc w:val="both"/>
      </w:pPr>
      <w:r>
        <w:rPr>
          <w:rFonts w:ascii="仿宋_GB2312" w:hAnsi="仿宋_GB2312" w:eastAsia="仿宋_GB2312"/>
          <w:b w:val="0"/>
          <w:sz w:val="32"/>
        </w:rPr>
        <w:t>2024年度一般公共预算财政拨款基本支出193.64万元，其中：</w:t>
      </w:r>
      <w:r>
        <w:rPr>
          <w:rFonts w:ascii="仿宋_GB2312" w:hAnsi="仿宋_GB2312" w:eastAsia="仿宋_GB2312"/>
          <w:b/>
          <w:sz w:val="32"/>
        </w:rPr>
        <w:t>人员经费186.57万元，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包括：基本工资、津贴补贴、奖金、绩效工资、机关事业单位基本养老保险缴费、职工基本医疗保险缴费、公务员医疗补助缴费、其他社会保障缴费、住房公积金、其他工资福利支出、奖励金。</w:t>
      </w:r>
    </w:p>
    <w:p w14:paraId="786852E6">
      <w:pPr>
        <w:spacing w:line="580" w:lineRule="exact"/>
        <w:ind w:firstLine="640"/>
        <w:jc w:val="both"/>
      </w:pPr>
      <w:r>
        <w:rPr>
          <w:rFonts w:ascii="仿宋_GB2312" w:hAnsi="仿宋_GB2312" w:eastAsia="仿宋_GB2312"/>
          <w:b/>
          <w:sz w:val="32"/>
        </w:rPr>
        <w:t>公用经费7.07万元，</w:t>
      </w:r>
      <w:r>
        <w:rPr>
          <w:rFonts w:ascii="仿宋_GB2312" w:hAnsi="仿宋_GB2312" w:eastAsia="仿宋_GB2312"/>
          <w:b w:val="0"/>
          <w:sz w:val="32"/>
        </w:rPr>
        <w:t>包括：办公费、印刷费、邮电费、差旅费。</w:t>
      </w:r>
    </w:p>
    <w:p w14:paraId="0ADC7288">
      <w:pPr>
        <w:spacing w:line="640" w:lineRule="exact"/>
        <w:ind w:firstLine="640"/>
        <w:jc w:val="both"/>
        <w:outlineLvl w:val="2"/>
      </w:pPr>
      <w:r>
        <w:rPr>
          <w:rFonts w:ascii="黑体" w:hAnsi="黑体" w:eastAsia="黑体"/>
          <w:sz w:val="32"/>
        </w:rPr>
        <w:t>七、政府性基金预算财政拨款收入支出决算情况说明</w:t>
      </w:r>
    </w:p>
    <w:p w14:paraId="6AE081C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5B32A2E">
      <w:pPr>
        <w:spacing w:line="640" w:lineRule="exact"/>
        <w:ind w:firstLine="640"/>
        <w:jc w:val="both"/>
        <w:outlineLvl w:val="2"/>
      </w:pPr>
      <w:r>
        <w:rPr>
          <w:rFonts w:ascii="黑体" w:hAnsi="黑体" w:eastAsia="黑体"/>
          <w:sz w:val="32"/>
        </w:rPr>
        <w:t>八、国有资本经营预算财政拨款收入支出决算情况说明</w:t>
      </w:r>
    </w:p>
    <w:p w14:paraId="512B345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159B2E4">
      <w:pPr>
        <w:spacing w:line="640" w:lineRule="exact"/>
        <w:ind w:firstLine="640"/>
        <w:jc w:val="both"/>
        <w:outlineLvl w:val="2"/>
      </w:pPr>
      <w:r>
        <w:rPr>
          <w:rFonts w:ascii="黑体" w:hAnsi="黑体" w:eastAsia="黑体"/>
          <w:sz w:val="32"/>
        </w:rPr>
        <w:t>九、财政拨款“三公”经费支出决算情况说明</w:t>
      </w:r>
    </w:p>
    <w:p w14:paraId="32B0DCCB">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F1F6526">
      <w:pPr>
        <w:spacing w:line="580" w:lineRule="exact"/>
        <w:ind w:firstLine="640"/>
        <w:jc w:val="both"/>
      </w:pPr>
      <w:r>
        <w:rPr>
          <w:rFonts w:ascii="仿宋_GB2312" w:hAnsi="仿宋_GB2312" w:eastAsia="仿宋_GB2312"/>
          <w:b/>
          <w:sz w:val="32"/>
        </w:rPr>
        <w:t>具体情况如下：</w:t>
      </w:r>
    </w:p>
    <w:p w14:paraId="379A357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E99D547">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452A5CF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39A5CE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67383BD">
      <w:pPr>
        <w:spacing w:line="640" w:lineRule="exact"/>
        <w:ind w:firstLine="640"/>
        <w:jc w:val="both"/>
        <w:outlineLvl w:val="2"/>
      </w:pPr>
      <w:r>
        <w:rPr>
          <w:rFonts w:ascii="黑体" w:hAnsi="黑体" w:eastAsia="黑体"/>
          <w:sz w:val="32"/>
        </w:rPr>
        <w:t>十、其他重要事项的情况说明</w:t>
      </w:r>
    </w:p>
    <w:p w14:paraId="7AC0C659">
      <w:pPr>
        <w:spacing w:line="640" w:lineRule="exact"/>
        <w:ind w:firstLine="640"/>
        <w:jc w:val="both"/>
        <w:outlineLvl w:val="3"/>
      </w:pPr>
      <w:r>
        <w:rPr>
          <w:rFonts w:ascii="楷体_GB2312" w:hAnsi="楷体_GB2312" w:eastAsia="楷体_GB2312"/>
          <w:b/>
          <w:sz w:val="32"/>
        </w:rPr>
        <w:t>（一）机关运行经费及公用经费支出情况</w:t>
      </w:r>
    </w:p>
    <w:p w14:paraId="69206E3A">
      <w:pPr>
        <w:spacing w:line="580" w:lineRule="exact"/>
        <w:ind w:firstLine="640"/>
        <w:jc w:val="both"/>
      </w:pPr>
      <w:r>
        <w:rPr>
          <w:rFonts w:ascii="仿宋_GB2312" w:hAnsi="仿宋_GB2312" w:eastAsia="仿宋_GB2312"/>
          <w:b w:val="0"/>
          <w:sz w:val="32"/>
        </w:rPr>
        <w:t>2024年度中共喀什经济开发区纪律检查工作委员会（行政单位和参照公务员法管理事业单位）机关运行经费支出7.07万元，比上年增加2.05万元，增长40.84%，主要原因是：本年更新、维护补充办公用品，导致机关运行经费较上年增加。</w:t>
      </w:r>
    </w:p>
    <w:p w14:paraId="545D9AAF">
      <w:pPr>
        <w:spacing w:line="640" w:lineRule="exact"/>
        <w:ind w:firstLine="640"/>
        <w:jc w:val="both"/>
        <w:outlineLvl w:val="3"/>
      </w:pPr>
      <w:r>
        <w:rPr>
          <w:rFonts w:ascii="楷体_GB2312" w:hAnsi="楷体_GB2312" w:eastAsia="楷体_GB2312"/>
          <w:b/>
          <w:sz w:val="32"/>
        </w:rPr>
        <w:t>（二）政府采购情况</w:t>
      </w:r>
    </w:p>
    <w:p w14:paraId="54884B72">
      <w:pPr>
        <w:spacing w:line="580" w:lineRule="exact"/>
        <w:ind w:firstLine="640"/>
        <w:jc w:val="both"/>
      </w:pPr>
      <w:r>
        <w:rPr>
          <w:rFonts w:ascii="仿宋_GB2312" w:hAnsi="仿宋_GB2312" w:eastAsia="仿宋_GB2312"/>
          <w:b w:val="0"/>
          <w:sz w:val="32"/>
        </w:rPr>
        <w:t>2024年度政府采购支出总额6.35万元，其中：政府采购货物支出6.35万元、政府采购工程支出0.00万元、政府采购服务支出0.00万元。</w:t>
      </w:r>
    </w:p>
    <w:p w14:paraId="17BE922D">
      <w:pPr>
        <w:spacing w:line="580" w:lineRule="exact"/>
        <w:ind w:firstLine="640"/>
        <w:jc w:val="both"/>
      </w:pPr>
      <w:r>
        <w:rPr>
          <w:rFonts w:ascii="仿宋_GB2312" w:hAnsi="仿宋_GB2312" w:eastAsia="仿宋_GB2312"/>
          <w:b w:val="0"/>
          <w:sz w:val="32"/>
        </w:rPr>
        <w:t>授予中小企业合同金额6.35万元，占政府采购支出总额的100.00%，其中：授予小微企业合同金额6.35万元，占政府采购支出总额的100.00%。</w:t>
      </w:r>
    </w:p>
    <w:p w14:paraId="723DF418">
      <w:pPr>
        <w:spacing w:line="640" w:lineRule="exact"/>
        <w:ind w:firstLine="640"/>
        <w:jc w:val="both"/>
        <w:outlineLvl w:val="3"/>
      </w:pPr>
      <w:r>
        <w:rPr>
          <w:rFonts w:ascii="楷体_GB2312" w:hAnsi="楷体_GB2312" w:eastAsia="楷体_GB2312"/>
          <w:b/>
          <w:sz w:val="32"/>
        </w:rPr>
        <w:t>（三）国有资产占用情况说明</w:t>
      </w:r>
    </w:p>
    <w:p w14:paraId="38C343F0">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71B2F35">
      <w:pPr>
        <w:spacing w:line="640" w:lineRule="exact"/>
        <w:ind w:firstLine="640"/>
        <w:jc w:val="both"/>
        <w:outlineLvl w:val="2"/>
      </w:pPr>
      <w:r>
        <w:rPr>
          <w:rFonts w:ascii="黑体" w:hAnsi="黑体" w:eastAsia="黑体"/>
          <w:sz w:val="32"/>
        </w:rPr>
        <w:t>十一、预算绩效的情况说明</w:t>
      </w:r>
    </w:p>
    <w:p w14:paraId="73F7F1C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203.28万元，实际执行总额202.83万元；预算绩效评价项目1个，全年预算数8.39万元，全年执行数7.99万元。预算绩效管理取得的成效：一是提升了财政资金使用效率：通过实施预算绩效管理，能够更好地跟踪和评估资金使用情况，及时发现问题并采取措施加以改进，从而提高了</w:t>
      </w:r>
      <w:r>
        <w:rPr>
          <w:rFonts w:hint="eastAsia" w:ascii="仿宋_GB2312" w:hAnsi="仿宋_GB2312" w:eastAsia="仿宋_GB2312"/>
          <w:b w:val="0"/>
          <w:sz w:val="32"/>
          <w:lang w:eastAsia="zh-CN"/>
        </w:rPr>
        <w:t>财政资金使用</w:t>
      </w:r>
      <w:r>
        <w:rPr>
          <w:rFonts w:ascii="仿宋_GB2312" w:hAnsi="仿宋_GB2312" w:eastAsia="仿宋_GB2312"/>
          <w:b w:val="0"/>
          <w:sz w:val="32"/>
        </w:rPr>
        <w:t>效率。二是实现了对财政资金的全程管理和控制：实施预算绩效管理，涵盖了预算编制、执行、监督和评价等各个环节，实现了对财政资金的全程管理和控制。三是强化了预算绩效目标管理：财政部门要求预算单位在申请项目资金时就提出项目资金使用应达到的绩效目标，并在年终或项目结束后进行绩效自评，确保了绩效目标的实现。发现的问题及原因：</w:t>
      </w:r>
      <w:r>
        <w:rPr>
          <w:rFonts w:hint="eastAsia" w:ascii="仿宋_GB2312" w:hAnsi="仿宋_GB2312" w:eastAsia="仿宋_GB2312"/>
          <w:b w:val="0"/>
          <w:sz w:val="32"/>
          <w:lang w:eastAsia="zh-CN"/>
        </w:rPr>
        <w:t>（</w:t>
      </w:r>
      <w:r>
        <w:rPr>
          <w:rFonts w:ascii="仿宋_GB2312" w:hAnsi="仿宋_GB2312" w:eastAsia="仿宋_GB2312"/>
          <w:b w:val="0"/>
          <w:sz w:val="32"/>
        </w:rPr>
        <w:t>一)预算执行存在偏差。由于个别项目指标到第四季度下达，在预算执行中造成个别预算子项调剂现象；对个别项目资金使用方面预算不够细致，出现实际支出数超出了预算申报数或出现项目资金结余数额多的情况，导致调剂频繁，缺乏预算编制的科学性。（二）预算绩效管理水平仍有欠缺。在2024年预算绩效管理工作中，存在“重投入轻管理、重支出轻绩效”的情况，对全面实施预算绩效管理的要求认识还不到位，项目申报、实施等环节与预算绩效管理各个环节联系不够紧密；同时预算绩效管理也是一项新工作，面对专业人手不足、绩效管理水平欠缺的情况下，提升的空间还是很大。下一步改进措施：对个别项目资金使用方面预算做到细致，针对上述存在的问题及整体支出管理工作的需要，实施改进措施如下：一是强化支出预算约束。进一步提高年初预算编制的科学性和准确性，完善预算执行动态约束机制，加强财政预算资金管理，统筹协调推进项目执行，提高财政资金效益和效果。加强学习，进一步明确如何参照考核体系，科学合理设定绩效目标，充分发挥预算绩效管理工作效用。二是进一步提高绩效管理水平。由于目前的预算管理在编制和实施中还存在编制不细、预算调整较多、追加预算比重较大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具体附整体支出绩效自评表，项目支出绩效自评表和评价报告。</w:t>
      </w:r>
    </w:p>
    <w:p w14:paraId="5C57DB0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93E2863">
        <w:tblPrEx>
          <w:tblCellMar>
            <w:top w:w="0" w:type="dxa"/>
            <w:left w:w="108" w:type="dxa"/>
            <w:bottom w:w="0" w:type="dxa"/>
            <w:right w:w="108" w:type="dxa"/>
          </w:tblCellMar>
        </w:tblPrEx>
        <w:tc>
          <w:tcPr>
            <w:tcW w:w="8847" w:type="dxa"/>
            <w:gridSpan w:val="9"/>
            <w:vAlign w:val="center"/>
          </w:tcPr>
          <w:p w14:paraId="4ED47237">
            <w:pPr>
              <w:jc w:val="center"/>
            </w:pPr>
            <w:r>
              <w:rPr>
                <w:rFonts w:ascii="宋体" w:hAnsi="宋体" w:eastAsia="宋体"/>
                <w:sz w:val="24"/>
              </w:rPr>
              <w:t>单位整体支出绩效自评表</w:t>
            </w:r>
          </w:p>
        </w:tc>
      </w:tr>
      <w:tr w14:paraId="63C7635A">
        <w:tblPrEx>
          <w:tblCellMar>
            <w:top w:w="0" w:type="dxa"/>
            <w:left w:w="108" w:type="dxa"/>
            <w:bottom w:w="0" w:type="dxa"/>
            <w:right w:w="108" w:type="dxa"/>
          </w:tblCellMar>
        </w:tblPrEx>
        <w:tc>
          <w:tcPr>
            <w:tcW w:w="8847" w:type="dxa"/>
            <w:gridSpan w:val="9"/>
            <w:vAlign w:val="center"/>
          </w:tcPr>
          <w:p w14:paraId="016A89CD">
            <w:pPr>
              <w:jc w:val="center"/>
            </w:pPr>
            <w:r>
              <w:rPr>
                <w:rFonts w:ascii="宋体" w:hAnsi="宋体" w:eastAsia="宋体"/>
                <w:sz w:val="24"/>
              </w:rPr>
              <w:t>（2024年度）</w:t>
            </w:r>
          </w:p>
        </w:tc>
      </w:tr>
      <w:tr w14:paraId="2752998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1A08F">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7280AC6">
            <w:pPr>
              <w:jc w:val="center"/>
            </w:pPr>
            <w:r>
              <w:rPr>
                <w:rFonts w:ascii="宋体" w:hAnsi="宋体" w:eastAsia="宋体"/>
                <w:sz w:val="16"/>
              </w:rPr>
              <w:t>中共喀什经济开发区纪律检查工作委员会</w:t>
            </w:r>
          </w:p>
        </w:tc>
      </w:tr>
      <w:tr w14:paraId="242BE75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8B6BB4">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6C37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C614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75165">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23768">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CD15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68143">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ABC80">
            <w:pPr>
              <w:jc w:val="center"/>
            </w:pPr>
            <w:r>
              <w:rPr>
                <w:rFonts w:ascii="宋体" w:hAnsi="宋体" w:eastAsia="宋体"/>
                <w:sz w:val="16"/>
              </w:rPr>
              <w:t>得分</w:t>
            </w:r>
          </w:p>
        </w:tc>
      </w:tr>
      <w:tr w14:paraId="5A8C86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1823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A1ECF">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63809">
            <w:pPr>
              <w:jc w:val="center"/>
            </w:pPr>
            <w:r>
              <w:rPr>
                <w:rFonts w:ascii="宋体" w:hAnsi="宋体" w:eastAsia="宋体"/>
                <w:sz w:val="16"/>
              </w:rPr>
              <w:t>171.58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45C32">
            <w:pPr>
              <w:jc w:val="center"/>
            </w:pPr>
            <w:r>
              <w:rPr>
                <w:rFonts w:ascii="宋体" w:hAnsi="宋体" w:eastAsia="宋体"/>
                <w:sz w:val="16"/>
              </w:rPr>
              <w:t>203.28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60480">
            <w:pPr>
              <w:jc w:val="center"/>
            </w:pPr>
            <w:r>
              <w:rPr>
                <w:rFonts w:ascii="宋体" w:hAnsi="宋体" w:eastAsia="宋体"/>
                <w:sz w:val="16"/>
              </w:rPr>
              <w:t>202.83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4E7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05984">
            <w:pPr>
              <w:jc w:val="center"/>
            </w:pPr>
            <w:r>
              <w:rPr>
                <w:rFonts w:ascii="宋体" w:hAnsi="宋体" w:eastAsia="宋体"/>
                <w:sz w:val="16"/>
              </w:rPr>
              <w:t>99.78%</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0AE7D">
            <w:pPr>
              <w:jc w:val="center"/>
            </w:pPr>
            <w:r>
              <w:rPr>
                <w:rFonts w:ascii="宋体" w:hAnsi="宋体" w:eastAsia="宋体"/>
                <w:sz w:val="16"/>
              </w:rPr>
              <w:t>9.98</w:t>
            </w:r>
          </w:p>
        </w:tc>
      </w:tr>
      <w:tr w14:paraId="647AE3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1710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4D21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608B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79C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5DBA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E10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647B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7B37A">
            <w:pPr>
              <w:jc w:val="center"/>
            </w:pPr>
            <w:r>
              <w:rPr>
                <w:rFonts w:ascii="宋体" w:hAnsi="宋体" w:eastAsia="宋体"/>
                <w:sz w:val="16"/>
              </w:rPr>
              <w:t>—</w:t>
            </w:r>
          </w:p>
        </w:tc>
      </w:tr>
      <w:tr w14:paraId="69CF6F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9E77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05C4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E75DE">
            <w:pPr>
              <w:jc w:val="center"/>
            </w:pPr>
            <w:r>
              <w:rPr>
                <w:rFonts w:ascii="宋体" w:hAnsi="宋体" w:eastAsia="宋体"/>
                <w:sz w:val="16"/>
              </w:rPr>
              <w:t>171.58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0A9AA">
            <w:pPr>
              <w:jc w:val="center"/>
            </w:pPr>
            <w:r>
              <w:rPr>
                <w:rFonts w:ascii="宋体" w:hAnsi="宋体" w:eastAsia="宋体"/>
                <w:sz w:val="16"/>
              </w:rPr>
              <w:t>203.28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E4C1A">
            <w:pPr>
              <w:jc w:val="center"/>
            </w:pPr>
            <w:r>
              <w:rPr>
                <w:rFonts w:ascii="宋体" w:hAnsi="宋体" w:eastAsia="宋体"/>
                <w:sz w:val="16"/>
              </w:rPr>
              <w:t>202.83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2BC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28E6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66531">
            <w:pPr>
              <w:jc w:val="center"/>
            </w:pPr>
            <w:r>
              <w:rPr>
                <w:rFonts w:ascii="宋体" w:hAnsi="宋体" w:eastAsia="宋体"/>
                <w:sz w:val="16"/>
              </w:rPr>
              <w:t>—</w:t>
            </w:r>
          </w:p>
        </w:tc>
      </w:tr>
      <w:tr w14:paraId="49D7A4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46D8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C8B62">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F376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6EBC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9DD6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6638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A43D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9646E">
            <w:pPr>
              <w:jc w:val="center"/>
            </w:pPr>
            <w:r>
              <w:rPr>
                <w:rFonts w:ascii="宋体" w:hAnsi="宋体" w:eastAsia="宋体"/>
                <w:sz w:val="16"/>
              </w:rPr>
              <w:t>—</w:t>
            </w:r>
          </w:p>
        </w:tc>
      </w:tr>
      <w:tr w14:paraId="0C3B705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B4FEB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CAA42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2A2324">
            <w:pPr>
              <w:jc w:val="center"/>
            </w:pPr>
            <w:r>
              <w:rPr>
                <w:rFonts w:ascii="宋体" w:hAnsi="宋体" w:eastAsia="宋体"/>
                <w:sz w:val="16"/>
              </w:rPr>
              <w:t>实际完成情况</w:t>
            </w:r>
          </w:p>
        </w:tc>
      </w:tr>
      <w:tr w14:paraId="01405E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55A4B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361AF2">
            <w:pPr>
              <w:jc w:val="both"/>
            </w:pPr>
            <w:r>
              <w:rPr>
                <w:rFonts w:ascii="宋体" w:hAnsi="宋体" w:eastAsia="宋体"/>
                <w:sz w:val="16"/>
              </w:rPr>
              <w:t>负责喀什经济开</w:t>
            </w:r>
            <w:r>
              <w:rPr>
                <w:rFonts w:hint="eastAsia" w:ascii="宋体" w:hAnsi="宋体"/>
                <w:sz w:val="16"/>
                <w:lang w:eastAsia="zh-CN"/>
              </w:rPr>
              <w:t>发区</w:t>
            </w:r>
            <w:r>
              <w:rPr>
                <w:rFonts w:ascii="宋体" w:hAnsi="宋体" w:eastAsia="宋体"/>
                <w:sz w:val="16"/>
              </w:rPr>
              <w:t>的党风廉政建设；检查监督党的路线、方针、政策决议和国家法律、法规以及党工委、管委会的重大决策、决议的执行情况；贯彻落实中央、自治区、地区关于行政监察工作的决定，按权限检查和处理开发区内党员、干部违反党章、党纪、政纪和监察对象违反国家政策、法规以及政纪的行为；受理党员的控告和申诉，受理监察对象不服政纪处分的申诉，受理个人或单位对监察对象违纪行为的检举、控告；会同有关部门开展纠正部门及行业不正之风工作，开展执法监察和效能监察；负责开发区审计工作，承办党工委、管委会交办的其他事项。</w:t>
            </w:r>
            <w:r>
              <w:rPr>
                <w:rFonts w:hint="eastAsia" w:ascii="宋体" w:hAnsi="宋体"/>
                <w:sz w:val="16"/>
                <w:lang w:eastAsia="zh-CN"/>
              </w:rPr>
              <w:t>本单位</w:t>
            </w:r>
            <w:r>
              <w:rPr>
                <w:rFonts w:ascii="宋体" w:hAnsi="宋体" w:eastAsia="宋体"/>
                <w:sz w:val="16"/>
              </w:rPr>
              <w:t>立足单位职能、中长期规划和年度工作计划，以上述总体目标为切入点，将总体目标分解为产出和效益，举办开发区纪法大讲堂（2次），持续开展警示教育，开发区层面召开警示教育大会（2次），各支部每季度召开1次警示教育会议，发送廉政提醒2次，组织开展集中学习次数36次，采取多种形式加大宣传教育力度（4种）。 具体内容如下：</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1.发放13名工作人员工资、绩效奖，缴纳社会保险、住房公积金及职业年金；</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2.保障单位日常业务正常开展</w:t>
            </w:r>
            <w:r>
              <w:rPr>
                <w:rFonts w:hint="eastAsia" w:ascii="宋体" w:hAnsi="宋体"/>
                <w:sz w:val="16"/>
                <w:lang w:eastAsia="zh-CN"/>
              </w:rPr>
              <w:t>；</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3.举办4次党风廉政宣传教育类活动，购买奖牌、奖品、荣誉证书；制作和更新党风廉政宣传材料,征订党风廉政建设和纪检监察报刊杂志53份</w:t>
            </w:r>
            <w:r>
              <w:rPr>
                <w:rFonts w:hint="eastAsia" w:ascii="宋体" w:hAnsi="宋体"/>
                <w:sz w:val="16"/>
                <w:lang w:eastAsia="zh-CN"/>
              </w:rPr>
              <w:t>；</w:t>
            </w:r>
            <w:r>
              <w:rPr>
                <w:rFonts w:ascii="宋体" w:hAnsi="宋体" w:eastAsia="宋体"/>
                <w:sz w:val="16"/>
              </w:rPr>
              <w:t xml:space="preserve">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抓严抓实各项宣传教育活动；推进廉洁文化进机关、进企业、进工地；落实“巩固提升年”目标任务，扎实推进廉洁文化建设，多种形式开展各项宣传教育活动。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27A9EF">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紧扣中长期规划与年度工作计划，以总体目标为核心，科学分解为产出与效益指标，扎实推进各项工作。期间，累计举办2期开发区纪法大讲堂，开展1次开发区层面警示教育大会，推动各支部按季度召开警示教育会议，并发送2次廉政提醒。同时，积极组织36次集中学习，创新运用4种形式强化宣传教育实效。</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在后勤保障与专项工作开展方面：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1.切实保障13名工作人员权益，按时发放工资、绩效奖金，依规缴纳社会保险、住房公积金及职业年金；</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2.全力维护单位日常业务高效运转；</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3.精心策划4场党风廉政宣传教育活动，采购奖牌、奖品及荣誉证书；完成党风廉政宣传材料的制作与更新，征订53份党风廉政建设和纪检监察类报刊杂志；组织36次集中学习，开展30次监督检查。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通过以上工作，</w:t>
            </w:r>
            <w:r>
              <w:rPr>
                <w:rFonts w:hint="eastAsia" w:ascii="宋体" w:hAnsi="宋体"/>
                <w:sz w:val="16"/>
                <w:lang w:eastAsia="zh-CN"/>
              </w:rPr>
              <w:t>本单位</w:t>
            </w:r>
            <w:r>
              <w:rPr>
                <w:rFonts w:ascii="宋体" w:hAnsi="宋体" w:eastAsia="宋体"/>
                <w:sz w:val="16"/>
              </w:rPr>
              <w:t>从严从实抓好宣传教育，深入推进廉洁文化“进机关、进企业、进工地”，全面落实“巩固提升年”目标任务，以多元形式深化廉洁文化建设，切实增强宣传教育的针对性和感染力。</w:t>
            </w:r>
          </w:p>
        </w:tc>
      </w:tr>
      <w:tr w14:paraId="15D33A0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D486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389C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4FB2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C7564">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E2C3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6D82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CD0F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F53FD">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142BF">
            <w:pPr>
              <w:jc w:val="center"/>
            </w:pPr>
            <w:r>
              <w:rPr>
                <w:rFonts w:ascii="宋体" w:hAnsi="宋体" w:eastAsia="宋体"/>
                <w:sz w:val="16"/>
              </w:rPr>
              <w:t>得分</w:t>
            </w:r>
          </w:p>
        </w:tc>
      </w:tr>
      <w:tr w14:paraId="195BCA9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E4740">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2F3A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2E43D">
            <w:pPr>
              <w:jc w:val="center"/>
            </w:pPr>
            <w:r>
              <w:rPr>
                <w:rFonts w:ascii="宋体" w:hAnsi="宋体" w:eastAsia="宋体"/>
                <w:sz w:val="16"/>
              </w:rPr>
              <w:t>举办开发区纪法大讲堂（次）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5A212">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0EC6A">
            <w:pPr>
              <w:jc w:val="center"/>
            </w:pPr>
            <w:r>
              <w:rPr>
                <w:rFonts w:ascii="宋体" w:hAnsi="宋体" w:eastAsia="宋体"/>
                <w:sz w:val="16"/>
              </w:rPr>
              <w:t>2024年工作要点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B3C5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8E962">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E8E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777B9">
            <w:pPr>
              <w:jc w:val="center"/>
            </w:pPr>
            <w:r>
              <w:rPr>
                <w:rFonts w:ascii="宋体" w:hAnsi="宋体" w:eastAsia="宋体"/>
                <w:sz w:val="16"/>
              </w:rPr>
              <w:t>20</w:t>
            </w:r>
          </w:p>
        </w:tc>
      </w:tr>
      <w:tr w14:paraId="60FBB7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D18F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0A34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4B510">
            <w:pPr>
              <w:jc w:val="center"/>
            </w:pPr>
            <w:r>
              <w:rPr>
                <w:rFonts w:ascii="宋体" w:hAnsi="宋体" w:eastAsia="宋体"/>
                <w:sz w:val="16"/>
              </w:rPr>
              <w:t>开展监督检查（次）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25CDE">
            <w:pPr>
              <w:jc w:val="center"/>
            </w:pPr>
            <w:r>
              <w:rPr>
                <w:rFonts w:ascii="宋体" w:hAnsi="宋体" w:eastAsia="宋体"/>
                <w:sz w:val="16"/>
              </w:rPr>
              <w:t>&gt;=30次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BDD95">
            <w:pPr>
              <w:jc w:val="center"/>
            </w:pPr>
            <w:r>
              <w:rPr>
                <w:rFonts w:ascii="宋体" w:hAnsi="宋体" w:eastAsia="宋体"/>
                <w:sz w:val="16"/>
              </w:rPr>
              <w:t>2024年工作要点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7746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59296">
            <w:pPr>
              <w:jc w:val="center"/>
            </w:pPr>
            <w:r>
              <w:rPr>
                <w:rFonts w:ascii="宋体" w:hAnsi="宋体" w:eastAsia="宋体"/>
                <w:sz w:val="16"/>
              </w:rPr>
              <w:t>30次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A95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DC9D8">
            <w:pPr>
              <w:jc w:val="center"/>
            </w:pPr>
            <w:r>
              <w:rPr>
                <w:rFonts w:ascii="宋体" w:hAnsi="宋体" w:eastAsia="宋体"/>
                <w:sz w:val="16"/>
              </w:rPr>
              <w:t>20</w:t>
            </w:r>
          </w:p>
        </w:tc>
      </w:tr>
      <w:tr w14:paraId="3DE536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00D8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3DF1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7A297">
            <w:pPr>
              <w:jc w:val="center"/>
            </w:pPr>
            <w:r>
              <w:rPr>
                <w:rFonts w:ascii="宋体" w:hAnsi="宋体" w:eastAsia="宋体"/>
                <w:sz w:val="16"/>
              </w:rPr>
              <w:t>各支部每季度召开警示教育会议（次）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B9E38">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745C0">
            <w:pPr>
              <w:jc w:val="center"/>
            </w:pPr>
            <w:r>
              <w:rPr>
                <w:rFonts w:ascii="宋体" w:hAnsi="宋体" w:eastAsia="宋体"/>
                <w:sz w:val="16"/>
              </w:rPr>
              <w:t>2024年工作要点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AC84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74DD8">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DD5A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C758B">
            <w:pPr>
              <w:jc w:val="center"/>
            </w:pPr>
            <w:r>
              <w:rPr>
                <w:rFonts w:ascii="宋体" w:hAnsi="宋体" w:eastAsia="宋体"/>
                <w:sz w:val="16"/>
              </w:rPr>
              <w:t>20</w:t>
            </w:r>
          </w:p>
        </w:tc>
      </w:tr>
      <w:tr w14:paraId="6C0769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1BC1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27B2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1DE5C">
            <w:pPr>
              <w:jc w:val="center"/>
            </w:pPr>
            <w:r>
              <w:rPr>
                <w:rFonts w:ascii="宋体" w:hAnsi="宋体" w:eastAsia="宋体"/>
                <w:sz w:val="16"/>
              </w:rPr>
              <w:t>发送廉政提醒（次）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84FE6">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C79CC">
            <w:pPr>
              <w:jc w:val="center"/>
            </w:pPr>
            <w:r>
              <w:rPr>
                <w:rFonts w:ascii="宋体" w:hAnsi="宋体" w:eastAsia="宋体"/>
                <w:sz w:val="16"/>
              </w:rPr>
              <w:t>2024年工作要点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4DF6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E54D7">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C7A7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1B8F7">
            <w:pPr>
              <w:jc w:val="center"/>
            </w:pPr>
            <w:r>
              <w:rPr>
                <w:rFonts w:ascii="宋体" w:hAnsi="宋体" w:eastAsia="宋体"/>
                <w:sz w:val="16"/>
              </w:rPr>
              <w:t>15</w:t>
            </w:r>
          </w:p>
        </w:tc>
      </w:tr>
      <w:tr w14:paraId="7AFCBF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07C3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BDFA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EC048">
            <w:pPr>
              <w:jc w:val="center"/>
            </w:pPr>
            <w:r>
              <w:rPr>
                <w:rFonts w:ascii="宋体" w:hAnsi="宋体" w:eastAsia="宋体"/>
                <w:sz w:val="16"/>
              </w:rPr>
              <w:t>组织开展集中学习（次）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34070">
            <w:pPr>
              <w:jc w:val="center"/>
            </w:pPr>
            <w:r>
              <w:rPr>
                <w:rFonts w:ascii="宋体" w:hAnsi="宋体" w:eastAsia="宋体"/>
                <w:sz w:val="16"/>
              </w:rPr>
              <w:t>&gt;=36次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23F43">
            <w:pPr>
              <w:jc w:val="center"/>
            </w:pPr>
            <w:r>
              <w:rPr>
                <w:rFonts w:ascii="宋体" w:hAnsi="宋体" w:eastAsia="宋体"/>
                <w:sz w:val="16"/>
              </w:rPr>
              <w:t>2024年工作要点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EAE9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64ABE">
            <w:pPr>
              <w:jc w:val="center"/>
            </w:pPr>
            <w:r>
              <w:rPr>
                <w:rFonts w:ascii="宋体" w:hAnsi="宋体" w:eastAsia="宋体"/>
                <w:sz w:val="16"/>
              </w:rPr>
              <w:t>36次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1F0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57237">
            <w:pPr>
              <w:jc w:val="center"/>
            </w:pPr>
            <w:r>
              <w:rPr>
                <w:rFonts w:ascii="宋体" w:hAnsi="宋体" w:eastAsia="宋体"/>
                <w:sz w:val="16"/>
              </w:rPr>
              <w:t>15</w:t>
            </w:r>
          </w:p>
        </w:tc>
      </w:tr>
    </w:tbl>
    <w:p w14:paraId="4334BCA9">
      <w:r>
        <w:br w:type="page"/>
      </w:r>
    </w:p>
    <w:tbl>
      <w:tblPr>
        <w:tblStyle w:val="9"/>
        <w:tblW w:w="9780" w:type="dxa"/>
        <w:tblInd w:w="0" w:type="dxa"/>
        <w:tblLayout w:type="autofit"/>
        <w:tblCellMar>
          <w:top w:w="0" w:type="dxa"/>
          <w:left w:w="108" w:type="dxa"/>
          <w:bottom w:w="0" w:type="dxa"/>
          <w:right w:w="108" w:type="dxa"/>
        </w:tblCellMar>
      </w:tblPr>
      <w:tblGrid>
        <w:gridCol w:w="692"/>
        <w:gridCol w:w="692"/>
        <w:gridCol w:w="693"/>
        <w:gridCol w:w="692"/>
        <w:gridCol w:w="762"/>
        <w:gridCol w:w="692"/>
        <w:gridCol w:w="693"/>
        <w:gridCol w:w="699"/>
        <w:gridCol w:w="692"/>
        <w:gridCol w:w="692"/>
        <w:gridCol w:w="693"/>
        <w:gridCol w:w="692"/>
        <w:gridCol w:w="693"/>
        <w:gridCol w:w="703"/>
      </w:tblGrid>
      <w:tr w14:paraId="42BC4347">
        <w:tblPrEx>
          <w:tblCellMar>
            <w:top w:w="0" w:type="dxa"/>
            <w:left w:w="108" w:type="dxa"/>
            <w:bottom w:w="0" w:type="dxa"/>
            <w:right w:w="108" w:type="dxa"/>
          </w:tblCellMar>
        </w:tblPrEx>
        <w:trPr>
          <w:trHeight w:val="141" w:hRule="atLeast"/>
        </w:trPr>
        <w:tc>
          <w:tcPr>
            <w:tcW w:w="9780" w:type="dxa"/>
            <w:gridSpan w:val="14"/>
            <w:vAlign w:val="center"/>
          </w:tcPr>
          <w:p w14:paraId="18CACA08">
            <w:pPr>
              <w:jc w:val="center"/>
            </w:pPr>
            <w:r>
              <w:rPr>
                <w:rFonts w:ascii="宋体" w:hAnsi="宋体" w:eastAsia="宋体"/>
                <w:sz w:val="24"/>
              </w:rPr>
              <w:t>项目支出绩效自评表</w:t>
            </w:r>
          </w:p>
        </w:tc>
      </w:tr>
      <w:tr w14:paraId="66118C2B">
        <w:tblPrEx>
          <w:tblCellMar>
            <w:top w:w="0" w:type="dxa"/>
            <w:left w:w="108" w:type="dxa"/>
            <w:bottom w:w="0" w:type="dxa"/>
            <w:right w:w="108" w:type="dxa"/>
          </w:tblCellMar>
        </w:tblPrEx>
        <w:trPr>
          <w:trHeight w:val="141" w:hRule="atLeast"/>
        </w:trPr>
        <w:tc>
          <w:tcPr>
            <w:tcW w:w="9780" w:type="dxa"/>
            <w:gridSpan w:val="14"/>
            <w:vAlign w:val="center"/>
          </w:tcPr>
          <w:p w14:paraId="6DC17DC8">
            <w:pPr>
              <w:jc w:val="center"/>
            </w:pPr>
            <w:r>
              <w:rPr>
                <w:rFonts w:ascii="宋体" w:hAnsi="宋体" w:eastAsia="宋体"/>
                <w:sz w:val="24"/>
              </w:rPr>
              <w:t>(2024年度)</w:t>
            </w:r>
          </w:p>
        </w:tc>
      </w:tr>
      <w:tr w14:paraId="5AD21655">
        <w:tblPrEx>
          <w:tblCellMar>
            <w:top w:w="0" w:type="dxa"/>
            <w:left w:w="108" w:type="dxa"/>
            <w:bottom w:w="0" w:type="dxa"/>
            <w:right w:w="108" w:type="dxa"/>
          </w:tblCellMar>
        </w:tblPrEx>
        <w:trPr>
          <w:trHeight w:val="292" w:hRule="atLeast"/>
        </w:trPr>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3DA1FE1C">
            <w:pPr>
              <w:jc w:val="center"/>
            </w:pPr>
            <w:r>
              <w:rPr>
                <w:rFonts w:ascii="宋体" w:hAnsi="宋体" w:eastAsia="宋体"/>
                <w:sz w:val="16"/>
              </w:rPr>
              <w:t>项目名称</w:t>
            </w:r>
          </w:p>
        </w:tc>
        <w:tc>
          <w:tcPr>
            <w:tcW w:w="908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6F5DBA">
            <w:pPr>
              <w:jc w:val="center"/>
            </w:pPr>
            <w:r>
              <w:rPr>
                <w:rFonts w:ascii="宋体" w:hAnsi="宋体" w:eastAsia="宋体"/>
                <w:sz w:val="16"/>
              </w:rPr>
              <w:t>开发区2024年党风廉政教育宣传项目</w:t>
            </w:r>
          </w:p>
        </w:tc>
      </w:tr>
      <w:tr w14:paraId="1FD29B4B">
        <w:tblPrEx>
          <w:tblCellMar>
            <w:top w:w="0" w:type="dxa"/>
            <w:left w:w="108" w:type="dxa"/>
            <w:bottom w:w="0" w:type="dxa"/>
            <w:right w:w="108" w:type="dxa"/>
          </w:tblCellMar>
        </w:tblPrEx>
        <w:trPr>
          <w:trHeight w:val="292" w:hRule="atLeast"/>
        </w:trPr>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7FB945D8">
            <w:pPr>
              <w:jc w:val="center"/>
            </w:pPr>
            <w:r>
              <w:rPr>
                <w:rFonts w:ascii="宋体" w:hAnsi="宋体" w:eastAsia="宋体"/>
                <w:sz w:val="16"/>
              </w:rPr>
              <w:t>主管部门</w:t>
            </w:r>
          </w:p>
        </w:tc>
        <w:tc>
          <w:tcPr>
            <w:tcW w:w="492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52CAC1">
            <w:pPr>
              <w:jc w:val="center"/>
            </w:pPr>
            <w:r>
              <w:rPr>
                <w:rFonts w:ascii="宋体" w:hAnsi="宋体" w:eastAsia="宋体"/>
                <w:sz w:val="16"/>
              </w:rPr>
              <w:t>中共喀什经济开发区纪律检查工作委员会（监察工作委员会）</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3A178EE3">
            <w:pPr>
              <w:jc w:val="center"/>
            </w:pPr>
            <w:r>
              <w:rPr>
                <w:rFonts w:ascii="宋体" w:hAnsi="宋体" w:eastAsia="宋体"/>
                <w:sz w:val="16"/>
              </w:rPr>
              <w:t>实施单位</w:t>
            </w:r>
          </w:p>
        </w:tc>
        <w:tc>
          <w:tcPr>
            <w:tcW w:w="347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F77E2C">
            <w:pPr>
              <w:jc w:val="center"/>
            </w:pPr>
            <w:r>
              <w:rPr>
                <w:rFonts w:ascii="宋体" w:hAnsi="宋体" w:eastAsia="宋体"/>
                <w:sz w:val="16"/>
              </w:rPr>
              <w:t>中共喀什经济开发区纪律检查工作委员会（监察工作委员会）</w:t>
            </w:r>
          </w:p>
        </w:tc>
      </w:tr>
      <w:tr w14:paraId="2DC7A98B">
        <w:tblPrEx>
          <w:tblCellMar>
            <w:top w:w="0" w:type="dxa"/>
            <w:left w:w="108" w:type="dxa"/>
            <w:bottom w:w="0" w:type="dxa"/>
            <w:right w:w="108" w:type="dxa"/>
          </w:tblCellMar>
        </w:tblPrEx>
        <w:trPr>
          <w:trHeight w:val="292" w:hRule="atLeast"/>
        </w:trPr>
        <w:tc>
          <w:tcPr>
            <w:tcW w:w="69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96784">
            <w:pPr>
              <w:jc w:val="center"/>
            </w:pPr>
            <w:r>
              <w:rPr>
                <w:rFonts w:ascii="宋体" w:hAnsi="宋体" w:eastAsia="宋体"/>
                <w:sz w:val="16"/>
              </w:rPr>
              <w:t>项目资金 （万元）</w:t>
            </w:r>
          </w:p>
        </w:tc>
        <w:tc>
          <w:tcPr>
            <w:tcW w:w="13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C4CEE">
            <w:pPr>
              <w:jc w:val="center"/>
            </w:pPr>
          </w:p>
        </w:tc>
        <w:tc>
          <w:tcPr>
            <w:tcW w:w="14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B14FB">
            <w:pPr>
              <w:jc w:val="center"/>
            </w:pPr>
            <w:r>
              <w:rPr>
                <w:rFonts w:ascii="宋体" w:hAnsi="宋体" w:eastAsia="宋体"/>
                <w:sz w:val="16"/>
              </w:rPr>
              <w:t>年初预算数</w:t>
            </w:r>
          </w:p>
        </w:tc>
        <w:tc>
          <w:tcPr>
            <w:tcW w:w="13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7DBFF">
            <w:pPr>
              <w:jc w:val="center"/>
            </w:pPr>
            <w:r>
              <w:rPr>
                <w:rFonts w:ascii="宋体" w:hAnsi="宋体" w:eastAsia="宋体"/>
                <w:sz w:val="16"/>
              </w:rPr>
              <w:t>全年预算数</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078EF">
            <w:pPr>
              <w:jc w:val="center"/>
            </w:pPr>
            <w:r>
              <w:rPr>
                <w:rFonts w:ascii="宋体" w:hAnsi="宋体" w:eastAsia="宋体"/>
                <w:sz w:val="16"/>
              </w:rPr>
              <w:t>全年执行数</w:t>
            </w:r>
          </w:p>
        </w:tc>
        <w:tc>
          <w:tcPr>
            <w:tcW w:w="13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8B874">
            <w:pPr>
              <w:jc w:val="center"/>
            </w:pPr>
            <w:r>
              <w:rPr>
                <w:rFonts w:ascii="宋体" w:hAnsi="宋体" w:eastAsia="宋体"/>
                <w:sz w:val="16"/>
              </w:rPr>
              <w:t>分值</w:t>
            </w:r>
          </w:p>
        </w:tc>
        <w:tc>
          <w:tcPr>
            <w:tcW w:w="13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951E3">
            <w:pPr>
              <w:jc w:val="center"/>
            </w:pPr>
            <w:r>
              <w:rPr>
                <w:rFonts w:ascii="宋体" w:hAnsi="宋体" w:eastAsia="宋体"/>
                <w:sz w:val="16"/>
              </w:rPr>
              <w:t>执行率</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26CF08C9">
            <w:pPr>
              <w:jc w:val="center"/>
            </w:pPr>
            <w:r>
              <w:rPr>
                <w:rFonts w:ascii="宋体" w:hAnsi="宋体" w:eastAsia="宋体"/>
                <w:sz w:val="16"/>
              </w:rPr>
              <w:t>得分</w:t>
            </w:r>
          </w:p>
        </w:tc>
      </w:tr>
      <w:tr w14:paraId="46B0972C">
        <w:tblPrEx>
          <w:tblCellMar>
            <w:top w:w="0" w:type="dxa"/>
            <w:left w:w="108" w:type="dxa"/>
            <w:bottom w:w="0" w:type="dxa"/>
            <w:right w:w="108" w:type="dxa"/>
          </w:tblCellMar>
        </w:tblPrEx>
        <w:trPr>
          <w:trHeight w:val="292" w:hRule="atLeast"/>
        </w:trPr>
        <w:tc>
          <w:tcPr>
            <w:tcW w:w="692" w:type="dxa"/>
            <w:vMerge w:val="continue"/>
            <w:tcBorders>
              <w:top w:val="single" w:color="auto" w:sz="10" w:space="0"/>
              <w:left w:val="single" w:color="auto" w:sz="10" w:space="0"/>
              <w:bottom w:val="single" w:color="auto" w:sz="10" w:space="0"/>
              <w:right w:val="single" w:color="auto" w:sz="10" w:space="0"/>
              <w:insideV w:val="single" w:sz="10" w:space="0"/>
            </w:tcBorders>
          </w:tcPr>
          <w:p w14:paraId="27124068"/>
        </w:tc>
        <w:tc>
          <w:tcPr>
            <w:tcW w:w="13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7257F">
            <w:pPr>
              <w:jc w:val="center"/>
            </w:pPr>
            <w:r>
              <w:rPr>
                <w:rFonts w:ascii="宋体" w:hAnsi="宋体" w:eastAsia="宋体"/>
                <w:sz w:val="16"/>
              </w:rPr>
              <w:t>年度资金总额</w:t>
            </w:r>
          </w:p>
        </w:tc>
        <w:tc>
          <w:tcPr>
            <w:tcW w:w="14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26589">
            <w:pPr>
              <w:jc w:val="center"/>
            </w:pPr>
            <w:r>
              <w:rPr>
                <w:rFonts w:ascii="宋体" w:hAnsi="宋体" w:eastAsia="宋体"/>
                <w:sz w:val="16"/>
              </w:rPr>
              <w:t>8.19</w:t>
            </w:r>
          </w:p>
        </w:tc>
        <w:tc>
          <w:tcPr>
            <w:tcW w:w="13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1A12B">
            <w:pPr>
              <w:jc w:val="center"/>
            </w:pPr>
            <w:r>
              <w:rPr>
                <w:rFonts w:ascii="宋体" w:hAnsi="宋体" w:eastAsia="宋体"/>
                <w:sz w:val="16"/>
              </w:rPr>
              <w:t>8.39</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9D223">
            <w:pPr>
              <w:jc w:val="center"/>
            </w:pPr>
            <w:r>
              <w:rPr>
                <w:rFonts w:ascii="宋体" w:hAnsi="宋体" w:eastAsia="宋体"/>
                <w:sz w:val="16"/>
              </w:rPr>
              <w:t>7.99</w:t>
            </w:r>
          </w:p>
        </w:tc>
        <w:tc>
          <w:tcPr>
            <w:tcW w:w="13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A8148">
            <w:pPr>
              <w:jc w:val="center"/>
            </w:pPr>
            <w:r>
              <w:rPr>
                <w:rFonts w:ascii="宋体" w:hAnsi="宋体" w:eastAsia="宋体"/>
                <w:sz w:val="16"/>
              </w:rPr>
              <w:t>10</w:t>
            </w:r>
          </w:p>
        </w:tc>
        <w:tc>
          <w:tcPr>
            <w:tcW w:w="13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5EBC4">
            <w:pPr>
              <w:jc w:val="center"/>
            </w:pPr>
            <w:r>
              <w:rPr>
                <w:rFonts w:ascii="宋体" w:hAnsi="宋体" w:eastAsia="宋体"/>
                <w:sz w:val="16"/>
              </w:rPr>
              <w:t>95.2%</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1CB9FD77">
            <w:pPr>
              <w:jc w:val="center"/>
            </w:pPr>
            <w:r>
              <w:rPr>
                <w:rFonts w:ascii="宋体" w:hAnsi="宋体" w:eastAsia="宋体"/>
                <w:sz w:val="16"/>
              </w:rPr>
              <w:t>8.81分</w:t>
            </w:r>
          </w:p>
        </w:tc>
      </w:tr>
      <w:tr w14:paraId="232C6933">
        <w:tblPrEx>
          <w:tblCellMar>
            <w:top w:w="0" w:type="dxa"/>
            <w:left w:w="108" w:type="dxa"/>
            <w:bottom w:w="0" w:type="dxa"/>
            <w:right w:w="108" w:type="dxa"/>
          </w:tblCellMar>
        </w:tblPrEx>
        <w:trPr>
          <w:trHeight w:val="292" w:hRule="atLeast"/>
        </w:trPr>
        <w:tc>
          <w:tcPr>
            <w:tcW w:w="692" w:type="dxa"/>
            <w:vMerge w:val="continue"/>
            <w:tcBorders>
              <w:top w:val="single" w:color="auto" w:sz="10" w:space="0"/>
              <w:left w:val="single" w:color="auto" w:sz="10" w:space="0"/>
              <w:bottom w:val="single" w:color="auto" w:sz="10" w:space="0"/>
              <w:right w:val="single" w:color="auto" w:sz="10" w:space="0"/>
              <w:insideV w:val="single" w:sz="10" w:space="0"/>
            </w:tcBorders>
          </w:tcPr>
          <w:p w14:paraId="024DF245"/>
        </w:tc>
        <w:tc>
          <w:tcPr>
            <w:tcW w:w="13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7F5B3">
            <w:pPr>
              <w:jc w:val="center"/>
            </w:pPr>
            <w:r>
              <w:rPr>
                <w:rFonts w:ascii="宋体" w:hAnsi="宋体" w:eastAsia="宋体"/>
                <w:sz w:val="16"/>
              </w:rPr>
              <w:t>其中：当年财政拨款</w:t>
            </w:r>
          </w:p>
        </w:tc>
        <w:tc>
          <w:tcPr>
            <w:tcW w:w="14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329CC">
            <w:pPr>
              <w:jc w:val="center"/>
            </w:pPr>
            <w:r>
              <w:rPr>
                <w:rFonts w:ascii="宋体" w:hAnsi="宋体" w:eastAsia="宋体"/>
                <w:sz w:val="16"/>
              </w:rPr>
              <w:t>8.19</w:t>
            </w:r>
          </w:p>
        </w:tc>
        <w:tc>
          <w:tcPr>
            <w:tcW w:w="13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35F69">
            <w:pPr>
              <w:jc w:val="center"/>
            </w:pPr>
            <w:r>
              <w:rPr>
                <w:rFonts w:ascii="宋体" w:hAnsi="宋体" w:eastAsia="宋体"/>
                <w:sz w:val="16"/>
              </w:rPr>
              <w:t>8.39</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8C0F3">
            <w:pPr>
              <w:jc w:val="center"/>
            </w:pPr>
            <w:r>
              <w:rPr>
                <w:rFonts w:ascii="宋体" w:hAnsi="宋体" w:eastAsia="宋体"/>
                <w:sz w:val="16"/>
              </w:rPr>
              <w:t>7.99</w:t>
            </w:r>
          </w:p>
        </w:tc>
        <w:tc>
          <w:tcPr>
            <w:tcW w:w="13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107A1">
            <w:pPr>
              <w:jc w:val="center"/>
            </w:pPr>
            <w:r>
              <w:rPr>
                <w:rFonts w:ascii="宋体" w:hAnsi="宋体" w:eastAsia="宋体"/>
                <w:sz w:val="16"/>
              </w:rPr>
              <w:t>—</w:t>
            </w:r>
          </w:p>
        </w:tc>
        <w:tc>
          <w:tcPr>
            <w:tcW w:w="13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FB5D2">
            <w:pPr>
              <w:jc w:val="center"/>
            </w:pPr>
            <w:r>
              <w:rPr>
                <w:rFonts w:ascii="宋体" w:hAnsi="宋体" w:eastAsia="宋体"/>
                <w:sz w:val="16"/>
              </w:rPr>
              <w:t>—</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62683DAE">
            <w:pPr>
              <w:jc w:val="center"/>
            </w:pPr>
            <w:r>
              <w:rPr>
                <w:rFonts w:ascii="宋体" w:hAnsi="宋体" w:eastAsia="宋体"/>
                <w:sz w:val="16"/>
              </w:rPr>
              <w:t>—</w:t>
            </w:r>
          </w:p>
        </w:tc>
      </w:tr>
      <w:tr w14:paraId="3D3DF47E">
        <w:tblPrEx>
          <w:tblCellMar>
            <w:top w:w="0" w:type="dxa"/>
            <w:left w:w="108" w:type="dxa"/>
            <w:bottom w:w="0" w:type="dxa"/>
            <w:right w:w="108" w:type="dxa"/>
          </w:tblCellMar>
        </w:tblPrEx>
        <w:trPr>
          <w:trHeight w:val="152" w:hRule="atLeast"/>
        </w:trPr>
        <w:tc>
          <w:tcPr>
            <w:tcW w:w="692" w:type="dxa"/>
            <w:vMerge w:val="continue"/>
            <w:tcBorders>
              <w:top w:val="single" w:color="auto" w:sz="10" w:space="0"/>
              <w:left w:val="single" w:color="auto" w:sz="10" w:space="0"/>
              <w:bottom w:val="single" w:color="auto" w:sz="10" w:space="0"/>
              <w:right w:val="single" w:color="auto" w:sz="10" w:space="0"/>
              <w:insideV w:val="single" w:sz="10" w:space="0"/>
            </w:tcBorders>
          </w:tcPr>
          <w:p w14:paraId="3BD4C1C4"/>
        </w:tc>
        <w:tc>
          <w:tcPr>
            <w:tcW w:w="13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8EF49">
            <w:pPr>
              <w:jc w:val="center"/>
            </w:pPr>
            <w:r>
              <w:rPr>
                <w:rFonts w:ascii="宋体" w:hAnsi="宋体" w:eastAsia="宋体"/>
                <w:sz w:val="16"/>
              </w:rPr>
              <w:t xml:space="preserve">  其他资金</w:t>
            </w:r>
          </w:p>
        </w:tc>
        <w:tc>
          <w:tcPr>
            <w:tcW w:w="14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70798">
            <w:pPr>
              <w:jc w:val="center"/>
            </w:pPr>
            <w:r>
              <w:rPr>
                <w:rFonts w:ascii="宋体" w:hAnsi="宋体" w:eastAsia="宋体"/>
                <w:sz w:val="16"/>
              </w:rPr>
              <w:t>0.00</w:t>
            </w:r>
          </w:p>
        </w:tc>
        <w:tc>
          <w:tcPr>
            <w:tcW w:w="13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EDEEA">
            <w:pPr>
              <w:jc w:val="center"/>
            </w:pPr>
            <w:r>
              <w:rPr>
                <w:rFonts w:ascii="宋体" w:hAnsi="宋体" w:eastAsia="宋体"/>
                <w:sz w:val="16"/>
              </w:rPr>
              <w:t>0.00</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1293A">
            <w:pPr>
              <w:jc w:val="center"/>
            </w:pPr>
            <w:r>
              <w:rPr>
                <w:rFonts w:ascii="宋体" w:hAnsi="宋体" w:eastAsia="宋体"/>
                <w:sz w:val="16"/>
              </w:rPr>
              <w:t>0.00</w:t>
            </w:r>
          </w:p>
        </w:tc>
        <w:tc>
          <w:tcPr>
            <w:tcW w:w="13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6E947">
            <w:pPr>
              <w:jc w:val="center"/>
            </w:pPr>
            <w:r>
              <w:rPr>
                <w:rFonts w:ascii="宋体" w:hAnsi="宋体" w:eastAsia="宋体"/>
                <w:sz w:val="16"/>
              </w:rPr>
              <w:t>—</w:t>
            </w:r>
          </w:p>
        </w:tc>
        <w:tc>
          <w:tcPr>
            <w:tcW w:w="13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FEF17">
            <w:pPr>
              <w:jc w:val="center"/>
            </w:pPr>
            <w:r>
              <w:rPr>
                <w:rFonts w:ascii="宋体" w:hAnsi="宋体" w:eastAsia="宋体"/>
                <w:sz w:val="16"/>
              </w:rPr>
              <w:t>—</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4B6BC718">
            <w:pPr>
              <w:jc w:val="center"/>
            </w:pPr>
            <w:r>
              <w:rPr>
                <w:rFonts w:ascii="宋体" w:hAnsi="宋体" w:eastAsia="宋体"/>
                <w:sz w:val="16"/>
              </w:rPr>
              <w:t>—</w:t>
            </w:r>
          </w:p>
        </w:tc>
      </w:tr>
      <w:tr w14:paraId="2ADD2135">
        <w:tblPrEx>
          <w:tblCellMar>
            <w:top w:w="0" w:type="dxa"/>
            <w:left w:w="108" w:type="dxa"/>
            <w:bottom w:w="0" w:type="dxa"/>
            <w:right w:w="108" w:type="dxa"/>
          </w:tblCellMar>
        </w:tblPrEx>
        <w:trPr>
          <w:trHeight w:val="152" w:hRule="atLeast"/>
        </w:trPr>
        <w:tc>
          <w:tcPr>
            <w:tcW w:w="69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5B5DD7">
            <w:pPr>
              <w:jc w:val="center"/>
            </w:pPr>
            <w:r>
              <w:rPr>
                <w:rFonts w:ascii="宋体" w:hAnsi="宋体" w:eastAsia="宋体"/>
                <w:sz w:val="16"/>
              </w:rPr>
              <w:t>三、目标完成情况</w:t>
            </w:r>
          </w:p>
        </w:tc>
        <w:tc>
          <w:tcPr>
            <w:tcW w:w="492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924043">
            <w:pPr>
              <w:jc w:val="center"/>
            </w:pPr>
            <w:r>
              <w:rPr>
                <w:rFonts w:ascii="宋体" w:hAnsi="宋体" w:eastAsia="宋体"/>
                <w:sz w:val="16"/>
              </w:rPr>
              <w:t>预期目标</w:t>
            </w:r>
          </w:p>
        </w:tc>
        <w:tc>
          <w:tcPr>
            <w:tcW w:w="416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9BC8A8">
            <w:pPr>
              <w:jc w:val="center"/>
            </w:pPr>
            <w:r>
              <w:rPr>
                <w:rFonts w:ascii="宋体" w:hAnsi="宋体" w:eastAsia="宋体"/>
                <w:sz w:val="16"/>
              </w:rPr>
              <w:t>实际完成情况</w:t>
            </w:r>
          </w:p>
        </w:tc>
      </w:tr>
      <w:tr w14:paraId="2D7B0BEA">
        <w:tblPrEx>
          <w:tblCellMar>
            <w:top w:w="0" w:type="dxa"/>
            <w:left w:w="108" w:type="dxa"/>
            <w:bottom w:w="0" w:type="dxa"/>
            <w:right w:w="108" w:type="dxa"/>
          </w:tblCellMar>
        </w:tblPrEx>
        <w:trPr>
          <w:trHeight w:val="1134" w:hRule="atLeast"/>
        </w:trPr>
        <w:tc>
          <w:tcPr>
            <w:tcW w:w="692" w:type="dxa"/>
            <w:vMerge w:val="continue"/>
            <w:tcBorders>
              <w:top w:val="single" w:color="auto" w:sz="10" w:space="0"/>
              <w:left w:val="single" w:color="auto" w:sz="10" w:space="0"/>
              <w:bottom w:val="single" w:color="auto" w:sz="10" w:space="0"/>
              <w:right w:val="single" w:color="auto" w:sz="10" w:space="0"/>
              <w:insideV w:val="single" w:sz="10" w:space="0"/>
            </w:tcBorders>
          </w:tcPr>
          <w:p w14:paraId="2CD0F837"/>
        </w:tc>
        <w:tc>
          <w:tcPr>
            <w:tcW w:w="492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E61263">
            <w:pPr>
              <w:jc w:val="both"/>
            </w:pPr>
            <w:r>
              <w:rPr>
                <w:rFonts w:ascii="宋体" w:hAnsi="宋体" w:eastAsia="宋体"/>
                <w:sz w:val="16"/>
              </w:rPr>
              <w:t>该项目预算安排8.39万元，为</w:t>
            </w:r>
            <w:r>
              <w:rPr>
                <w:rFonts w:hint="eastAsia" w:ascii="宋体" w:hAnsi="宋体"/>
                <w:sz w:val="16"/>
                <w:lang w:eastAsia="zh-CN"/>
              </w:rPr>
              <w:t>更好地</w:t>
            </w:r>
            <w:r>
              <w:rPr>
                <w:rFonts w:ascii="宋体" w:hAnsi="宋体" w:eastAsia="宋体"/>
                <w:sz w:val="16"/>
              </w:rPr>
              <w:t>开展喀什经济开发区党风廉政建设和纪检监察工作，计划举办4次党风廉政宣传教育类活动，购买木质奖牌、奖品、荣誉证书；纪检专网建设项目1.2万元，更新党风廉政教育馆相关内容等；征订党风廉政建设和纪检监察报刊杂志3种，共计60份。通过实施本项目不断提高开发区纪工委在党风廉政建设和纪检监察等方面的能力，有效促进履职能力的提升，以及加强喀什经济开发区的党风廉政建设工作。</w:t>
            </w:r>
          </w:p>
        </w:tc>
        <w:tc>
          <w:tcPr>
            <w:tcW w:w="416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0CB362">
            <w:pPr>
              <w:jc w:val="both"/>
            </w:pPr>
            <w:r>
              <w:rPr>
                <w:rFonts w:hint="eastAsia" w:ascii="宋体" w:hAnsi="宋体"/>
                <w:sz w:val="16"/>
                <w:lang w:eastAsia="zh-CN"/>
              </w:rPr>
              <w:t>截</w:t>
            </w:r>
            <w:r>
              <w:rPr>
                <w:rFonts w:ascii="宋体" w:hAnsi="宋体" w:eastAsia="宋体"/>
                <w:sz w:val="16"/>
              </w:rPr>
              <w:t>至2024年12月31日，该项目执行资金7.99万元，执行率95.2%，已举办4次党风廉政宣传教育类活动，购买木质奖牌、奖品、荣誉证书；纪检专网建设项目1.2万元，更新党风廉政教育馆相关内容等；征订党风廉政建设和纪检监察报刊杂志3种，通过实施本项目提高了开发区纪工委在党风廉政建设和纪检监察等方面的能力，有效促进了履职能力的提升，参加活动人员满意度100%。</w:t>
            </w:r>
          </w:p>
        </w:tc>
      </w:tr>
      <w:tr w14:paraId="0BECD09C">
        <w:tblPrEx>
          <w:tblCellMar>
            <w:top w:w="0" w:type="dxa"/>
            <w:left w:w="108" w:type="dxa"/>
            <w:bottom w:w="0" w:type="dxa"/>
            <w:right w:w="108" w:type="dxa"/>
          </w:tblCellMar>
        </w:tblPrEx>
        <w:trPr>
          <w:trHeight w:val="573" w:hRule="atLeast"/>
        </w:trPr>
        <w:tc>
          <w:tcPr>
            <w:tcW w:w="692" w:type="dxa"/>
            <w:tcBorders>
              <w:top w:val="single" w:color="auto" w:sz="10" w:space="0"/>
              <w:left w:val="single" w:color="auto" w:sz="10" w:space="0"/>
              <w:bottom w:val="single" w:color="auto" w:sz="10" w:space="0"/>
              <w:right w:val="single" w:color="auto" w:sz="10" w:space="0"/>
              <w:insideV w:val="single" w:sz="10" w:space="0"/>
            </w:tcBorders>
          </w:tcPr>
          <w:p w14:paraId="68568C15"/>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004B805F">
            <w:pPr>
              <w:jc w:val="center"/>
            </w:pPr>
            <w:r>
              <w:rPr>
                <w:rFonts w:ascii="宋体" w:hAnsi="宋体" w:eastAsia="宋体"/>
                <w:sz w:val="16"/>
              </w:rPr>
              <w:t>一级指标</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40DFD127">
            <w:pPr>
              <w:jc w:val="center"/>
            </w:pPr>
            <w:r>
              <w:rPr>
                <w:rFonts w:ascii="宋体" w:hAnsi="宋体" w:eastAsia="宋体"/>
                <w:sz w:val="16"/>
              </w:rPr>
              <w:t>二级指标</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6B73804B">
            <w:pPr>
              <w:jc w:val="center"/>
            </w:pPr>
            <w:r>
              <w:rPr>
                <w:rFonts w:ascii="宋体" w:hAnsi="宋体" w:eastAsia="宋体"/>
                <w:sz w:val="16"/>
              </w:rPr>
              <w:t>三级指标</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2E6238E5">
            <w:pPr>
              <w:jc w:val="center"/>
            </w:pPr>
            <w:r>
              <w:rPr>
                <w:rFonts w:ascii="宋体" w:hAnsi="宋体" w:eastAsia="宋体"/>
                <w:sz w:val="16"/>
              </w:rPr>
              <w:t>年度指标值</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6CA1D772">
            <w:pPr>
              <w:jc w:val="center"/>
            </w:pPr>
            <w:r>
              <w:rPr>
                <w:rFonts w:ascii="宋体" w:hAnsi="宋体" w:eastAsia="宋体"/>
                <w:sz w:val="16"/>
              </w:rPr>
              <w:t>指标值设定依据</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1C2E586F">
            <w:pPr>
              <w:jc w:val="center"/>
            </w:pPr>
            <w:r>
              <w:rPr>
                <w:rFonts w:ascii="宋体" w:hAnsi="宋体" w:eastAsia="宋体"/>
                <w:sz w:val="16"/>
              </w:rPr>
              <w:t>上年完成情况</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26DB81DA">
            <w:pPr>
              <w:jc w:val="center"/>
            </w:pPr>
            <w:r>
              <w:rPr>
                <w:rFonts w:ascii="宋体" w:hAnsi="宋体" w:eastAsia="宋体"/>
                <w:sz w:val="16"/>
              </w:rPr>
              <w:t>权重</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25287973">
            <w:pPr>
              <w:jc w:val="center"/>
            </w:pPr>
            <w:r>
              <w:rPr>
                <w:rFonts w:ascii="宋体" w:hAnsi="宋体" w:eastAsia="宋体"/>
                <w:sz w:val="16"/>
              </w:rPr>
              <w:t>赋分规则</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7DB26BB3">
            <w:pPr>
              <w:jc w:val="center"/>
            </w:pPr>
            <w:r>
              <w:rPr>
                <w:rFonts w:ascii="宋体" w:hAnsi="宋体" w:eastAsia="宋体"/>
                <w:sz w:val="16"/>
              </w:rPr>
              <w:t>佐证资料</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64EFB6BB">
            <w:pPr>
              <w:jc w:val="center"/>
            </w:pPr>
            <w:r>
              <w:rPr>
                <w:rFonts w:ascii="宋体" w:hAnsi="宋体" w:eastAsia="宋体"/>
                <w:sz w:val="16"/>
              </w:rPr>
              <w:t>实际完成值</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6E0BE501">
            <w:pPr>
              <w:jc w:val="center"/>
            </w:pPr>
            <w:r>
              <w:rPr>
                <w:rFonts w:ascii="宋体" w:hAnsi="宋体" w:eastAsia="宋体"/>
                <w:sz w:val="16"/>
              </w:rPr>
              <w:t>得分</w:t>
            </w:r>
          </w:p>
        </w:tc>
        <w:tc>
          <w:tcPr>
            <w:tcW w:w="13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077C4">
            <w:pPr>
              <w:jc w:val="center"/>
            </w:pPr>
            <w:r>
              <w:rPr>
                <w:rFonts w:ascii="宋体" w:hAnsi="宋体" w:eastAsia="宋体"/>
                <w:sz w:val="16"/>
              </w:rPr>
              <w:t>偏差原因分析及改进措施</w:t>
            </w:r>
          </w:p>
        </w:tc>
      </w:tr>
      <w:tr w14:paraId="04F0CA9A">
        <w:tblPrEx>
          <w:tblCellMar>
            <w:top w:w="0" w:type="dxa"/>
            <w:left w:w="108" w:type="dxa"/>
            <w:bottom w:w="0" w:type="dxa"/>
            <w:right w:w="108" w:type="dxa"/>
          </w:tblCellMar>
        </w:tblPrEx>
        <w:trPr>
          <w:trHeight w:val="573" w:hRule="atLeast"/>
        </w:trPr>
        <w:tc>
          <w:tcPr>
            <w:tcW w:w="69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2D37CC">
            <w:pPr>
              <w:jc w:val="center"/>
            </w:pPr>
            <w:r>
              <w:rPr>
                <w:rFonts w:ascii="宋体" w:hAnsi="宋体" w:eastAsia="宋体"/>
                <w:sz w:val="16"/>
              </w:rPr>
              <w:t>年度绩效指标完成情况</w:t>
            </w:r>
          </w:p>
        </w:tc>
        <w:tc>
          <w:tcPr>
            <w:tcW w:w="69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18D0C1">
            <w:pPr>
              <w:jc w:val="center"/>
            </w:pPr>
            <w:r>
              <w:rPr>
                <w:rFonts w:ascii="宋体" w:hAnsi="宋体" w:eastAsia="宋体"/>
                <w:sz w:val="16"/>
              </w:rPr>
              <w:t>产出指标</w:t>
            </w:r>
          </w:p>
        </w:tc>
        <w:tc>
          <w:tcPr>
            <w:tcW w:w="69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21B472">
            <w:pPr>
              <w:jc w:val="center"/>
            </w:pPr>
            <w:r>
              <w:rPr>
                <w:rFonts w:ascii="宋体" w:hAnsi="宋体" w:eastAsia="宋体"/>
                <w:sz w:val="16"/>
              </w:rPr>
              <w:t>数量指标</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1F9AD9E5">
            <w:pPr>
              <w:jc w:val="center"/>
            </w:pPr>
            <w:r>
              <w:rPr>
                <w:rFonts w:ascii="宋体" w:hAnsi="宋体" w:eastAsia="宋体"/>
                <w:sz w:val="16"/>
              </w:rPr>
              <w:t>举办宣传活动场次</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2CE6E434">
            <w:pPr>
              <w:jc w:val="center"/>
            </w:pPr>
            <w:r>
              <w:rPr>
                <w:rFonts w:ascii="宋体" w:hAnsi="宋体" w:eastAsia="宋体"/>
                <w:sz w:val="16"/>
              </w:rPr>
              <w:t>&gt;=4场</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4A8E1EC5">
            <w:pPr>
              <w:jc w:val="center"/>
            </w:pPr>
            <w:r>
              <w:rPr>
                <w:rFonts w:ascii="宋体" w:hAnsi="宋体" w:eastAsia="宋体"/>
                <w:sz w:val="16"/>
              </w:rPr>
              <w:t>计划标准</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71A85F7F">
            <w:pPr>
              <w:jc w:val="center"/>
            </w:pPr>
            <w:r>
              <w:rPr>
                <w:rFonts w:ascii="宋体" w:hAnsi="宋体" w:eastAsia="宋体"/>
                <w:sz w:val="16"/>
              </w:rPr>
              <w:t>新增</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2E510DC5">
            <w:pPr>
              <w:jc w:val="center"/>
            </w:pPr>
            <w:r>
              <w:rPr>
                <w:rFonts w:ascii="宋体" w:hAnsi="宋体" w:eastAsia="宋体"/>
                <w:sz w:val="16"/>
              </w:rPr>
              <w:t>7</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39B57B3E">
            <w:pPr>
              <w:jc w:val="center"/>
            </w:pPr>
            <w:r>
              <w:rPr>
                <w:rFonts w:ascii="宋体" w:hAnsi="宋体" w:eastAsia="宋体"/>
                <w:sz w:val="16"/>
              </w:rPr>
              <w:t>按照完成比例赋分</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0F5F60FF">
            <w:pPr>
              <w:jc w:val="center"/>
            </w:pPr>
            <w:r>
              <w:rPr>
                <w:rFonts w:ascii="宋体" w:hAnsi="宋体" w:eastAsia="宋体"/>
                <w:sz w:val="16"/>
              </w:rPr>
              <w:t>工作资料</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3AD7A4DC">
            <w:pPr>
              <w:jc w:val="center"/>
            </w:pPr>
            <w:r>
              <w:rPr>
                <w:rFonts w:ascii="宋体" w:hAnsi="宋体" w:eastAsia="宋体"/>
                <w:sz w:val="16"/>
              </w:rPr>
              <w:t>=4场</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357DB0E3">
            <w:pPr>
              <w:jc w:val="center"/>
            </w:pPr>
            <w:r>
              <w:rPr>
                <w:rFonts w:ascii="宋体" w:hAnsi="宋体" w:eastAsia="宋体"/>
                <w:sz w:val="16"/>
              </w:rPr>
              <w:t>7</w:t>
            </w:r>
          </w:p>
        </w:tc>
        <w:tc>
          <w:tcPr>
            <w:tcW w:w="13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292C2">
            <w:pPr>
              <w:jc w:val="center"/>
            </w:pPr>
          </w:p>
        </w:tc>
      </w:tr>
      <w:tr w14:paraId="3E777E60">
        <w:tblPrEx>
          <w:tblCellMar>
            <w:top w:w="0" w:type="dxa"/>
            <w:left w:w="108" w:type="dxa"/>
            <w:bottom w:w="0" w:type="dxa"/>
            <w:right w:w="108" w:type="dxa"/>
          </w:tblCellMar>
        </w:tblPrEx>
        <w:trPr>
          <w:trHeight w:val="573" w:hRule="atLeast"/>
        </w:trPr>
        <w:tc>
          <w:tcPr>
            <w:tcW w:w="692" w:type="dxa"/>
            <w:vMerge w:val="continue"/>
            <w:tcBorders>
              <w:top w:val="single" w:color="auto" w:sz="10" w:space="0"/>
              <w:left w:val="single" w:color="auto" w:sz="10" w:space="0"/>
              <w:bottom w:val="single" w:color="auto" w:sz="10" w:space="0"/>
              <w:right w:val="single" w:color="auto" w:sz="10" w:space="0"/>
              <w:insideV w:val="single" w:sz="10" w:space="0"/>
            </w:tcBorders>
          </w:tcPr>
          <w:p w14:paraId="5335097E"/>
        </w:tc>
        <w:tc>
          <w:tcPr>
            <w:tcW w:w="692" w:type="dxa"/>
            <w:vMerge w:val="continue"/>
            <w:tcBorders>
              <w:top w:val="single" w:color="auto" w:sz="10" w:space="0"/>
              <w:left w:val="single" w:color="auto" w:sz="10" w:space="0"/>
              <w:bottom w:val="single" w:color="auto" w:sz="10" w:space="0"/>
              <w:right w:val="single" w:color="auto" w:sz="10" w:space="0"/>
              <w:insideV w:val="single" w:sz="10" w:space="0"/>
            </w:tcBorders>
          </w:tcPr>
          <w:p w14:paraId="53A644F9"/>
        </w:tc>
        <w:tc>
          <w:tcPr>
            <w:tcW w:w="693" w:type="dxa"/>
            <w:vMerge w:val="continue"/>
            <w:tcBorders>
              <w:top w:val="single" w:color="auto" w:sz="10" w:space="0"/>
              <w:left w:val="single" w:color="auto" w:sz="10" w:space="0"/>
              <w:bottom w:val="single" w:color="auto" w:sz="10" w:space="0"/>
              <w:right w:val="single" w:color="auto" w:sz="10" w:space="0"/>
              <w:insideV w:val="single" w:sz="10" w:space="0"/>
            </w:tcBorders>
          </w:tcPr>
          <w:p w14:paraId="637A62EC"/>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0F95FA4A">
            <w:pPr>
              <w:jc w:val="center"/>
            </w:pPr>
            <w:r>
              <w:rPr>
                <w:rFonts w:ascii="宋体" w:hAnsi="宋体" w:eastAsia="宋体"/>
                <w:sz w:val="16"/>
              </w:rPr>
              <w:t>订阅</w:t>
            </w:r>
            <w:r>
              <w:rPr>
                <w:rFonts w:hint="eastAsia" w:ascii="宋体" w:hAnsi="宋体"/>
                <w:sz w:val="16"/>
                <w:lang w:eastAsia="zh-CN"/>
              </w:rPr>
              <w:t>期刊</w:t>
            </w:r>
            <w:r>
              <w:rPr>
                <w:rFonts w:ascii="宋体" w:hAnsi="宋体" w:eastAsia="宋体"/>
                <w:sz w:val="16"/>
              </w:rPr>
              <w:t>种类</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027ECAFB">
            <w:pPr>
              <w:jc w:val="center"/>
            </w:pPr>
            <w:r>
              <w:rPr>
                <w:rFonts w:ascii="宋体" w:hAnsi="宋体" w:eastAsia="宋体"/>
                <w:sz w:val="16"/>
              </w:rPr>
              <w:t>&gt;=3类</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0B9BC423">
            <w:pPr>
              <w:jc w:val="center"/>
            </w:pPr>
            <w:r>
              <w:rPr>
                <w:rFonts w:ascii="宋体" w:hAnsi="宋体" w:eastAsia="宋体"/>
                <w:sz w:val="16"/>
              </w:rPr>
              <w:t>计划标准</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1CCB2958">
            <w:pPr>
              <w:jc w:val="center"/>
            </w:pPr>
            <w:r>
              <w:rPr>
                <w:rFonts w:ascii="宋体" w:hAnsi="宋体" w:eastAsia="宋体"/>
                <w:sz w:val="16"/>
              </w:rPr>
              <w:t>新增</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593341C3">
            <w:pPr>
              <w:jc w:val="center"/>
            </w:pPr>
            <w:r>
              <w:rPr>
                <w:rFonts w:ascii="宋体" w:hAnsi="宋体" w:eastAsia="宋体"/>
                <w:sz w:val="16"/>
              </w:rPr>
              <w:t>7</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6072BD73">
            <w:pPr>
              <w:jc w:val="center"/>
            </w:pPr>
            <w:r>
              <w:rPr>
                <w:rFonts w:ascii="宋体" w:hAnsi="宋体" w:eastAsia="宋体"/>
                <w:sz w:val="16"/>
              </w:rPr>
              <w:t>按照完成比例赋分</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42BAE399">
            <w:pPr>
              <w:jc w:val="center"/>
            </w:pPr>
            <w:r>
              <w:rPr>
                <w:rFonts w:ascii="宋体" w:hAnsi="宋体" w:eastAsia="宋体"/>
                <w:sz w:val="16"/>
              </w:rPr>
              <w:t>原始凭证</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7D170961">
            <w:pPr>
              <w:jc w:val="center"/>
            </w:pPr>
            <w:r>
              <w:rPr>
                <w:rFonts w:ascii="宋体" w:hAnsi="宋体" w:eastAsia="宋体"/>
                <w:sz w:val="16"/>
              </w:rPr>
              <w:t>=3类</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417CBA20">
            <w:pPr>
              <w:jc w:val="center"/>
            </w:pPr>
            <w:r>
              <w:rPr>
                <w:rFonts w:ascii="宋体" w:hAnsi="宋体" w:eastAsia="宋体"/>
                <w:sz w:val="16"/>
              </w:rPr>
              <w:t>7</w:t>
            </w:r>
          </w:p>
        </w:tc>
        <w:tc>
          <w:tcPr>
            <w:tcW w:w="13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B7A81">
            <w:pPr>
              <w:jc w:val="center"/>
            </w:pPr>
          </w:p>
        </w:tc>
      </w:tr>
      <w:tr w14:paraId="5BB66FFB">
        <w:tblPrEx>
          <w:tblCellMar>
            <w:top w:w="0" w:type="dxa"/>
            <w:left w:w="108" w:type="dxa"/>
            <w:bottom w:w="0" w:type="dxa"/>
            <w:right w:w="108" w:type="dxa"/>
          </w:tblCellMar>
        </w:tblPrEx>
        <w:trPr>
          <w:trHeight w:val="573" w:hRule="atLeast"/>
        </w:trPr>
        <w:tc>
          <w:tcPr>
            <w:tcW w:w="692" w:type="dxa"/>
            <w:vMerge w:val="continue"/>
            <w:tcBorders>
              <w:top w:val="single" w:color="auto" w:sz="10" w:space="0"/>
              <w:left w:val="single" w:color="auto" w:sz="10" w:space="0"/>
              <w:bottom w:val="single" w:color="auto" w:sz="10" w:space="0"/>
              <w:right w:val="single" w:color="auto" w:sz="10" w:space="0"/>
              <w:insideV w:val="single" w:sz="10" w:space="0"/>
            </w:tcBorders>
          </w:tcPr>
          <w:p w14:paraId="53074713"/>
        </w:tc>
        <w:tc>
          <w:tcPr>
            <w:tcW w:w="692" w:type="dxa"/>
            <w:vMerge w:val="continue"/>
            <w:tcBorders>
              <w:top w:val="single" w:color="auto" w:sz="10" w:space="0"/>
              <w:left w:val="single" w:color="auto" w:sz="10" w:space="0"/>
              <w:bottom w:val="single" w:color="auto" w:sz="10" w:space="0"/>
              <w:right w:val="single" w:color="auto" w:sz="10" w:space="0"/>
              <w:insideV w:val="single" w:sz="10" w:space="0"/>
            </w:tcBorders>
          </w:tcPr>
          <w:p w14:paraId="002D5189"/>
        </w:tc>
        <w:tc>
          <w:tcPr>
            <w:tcW w:w="693" w:type="dxa"/>
            <w:vMerge w:val="continue"/>
            <w:tcBorders>
              <w:top w:val="single" w:color="auto" w:sz="10" w:space="0"/>
              <w:left w:val="single" w:color="auto" w:sz="10" w:space="0"/>
              <w:bottom w:val="single" w:color="auto" w:sz="10" w:space="0"/>
              <w:right w:val="single" w:color="auto" w:sz="10" w:space="0"/>
              <w:insideV w:val="single" w:sz="10" w:space="0"/>
            </w:tcBorders>
          </w:tcPr>
          <w:p w14:paraId="503CD224"/>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0EDA5945">
            <w:pPr>
              <w:jc w:val="center"/>
            </w:pPr>
            <w:r>
              <w:rPr>
                <w:rFonts w:ascii="宋体" w:hAnsi="宋体" w:eastAsia="宋体"/>
                <w:sz w:val="16"/>
              </w:rPr>
              <w:t>参加活动人数</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7211130C">
            <w:pPr>
              <w:jc w:val="center"/>
            </w:pPr>
            <w:r>
              <w:rPr>
                <w:rFonts w:ascii="宋体" w:hAnsi="宋体" w:eastAsia="宋体"/>
                <w:sz w:val="16"/>
              </w:rPr>
              <w:t>&gt;=100人</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2984EB3A">
            <w:pPr>
              <w:jc w:val="center"/>
            </w:pPr>
            <w:r>
              <w:rPr>
                <w:rFonts w:ascii="宋体" w:hAnsi="宋体" w:eastAsia="宋体"/>
                <w:sz w:val="16"/>
              </w:rPr>
              <w:t>计划标准</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085C343B">
            <w:pPr>
              <w:jc w:val="center"/>
            </w:pPr>
            <w:r>
              <w:rPr>
                <w:rFonts w:ascii="宋体" w:hAnsi="宋体" w:eastAsia="宋体"/>
                <w:sz w:val="16"/>
              </w:rPr>
              <w:t>新增</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4DE44A37">
            <w:pPr>
              <w:jc w:val="center"/>
            </w:pPr>
            <w:r>
              <w:rPr>
                <w:rFonts w:ascii="宋体" w:hAnsi="宋体" w:eastAsia="宋体"/>
                <w:sz w:val="16"/>
              </w:rPr>
              <w:t>7</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3277585B">
            <w:pPr>
              <w:jc w:val="center"/>
            </w:pPr>
            <w:r>
              <w:rPr>
                <w:rFonts w:ascii="宋体" w:hAnsi="宋体" w:eastAsia="宋体"/>
                <w:sz w:val="16"/>
              </w:rPr>
              <w:t>按照完成比例赋分</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174CB74B">
            <w:pPr>
              <w:jc w:val="center"/>
            </w:pPr>
            <w:r>
              <w:rPr>
                <w:rFonts w:ascii="宋体" w:hAnsi="宋体" w:eastAsia="宋体"/>
                <w:sz w:val="16"/>
              </w:rPr>
              <w:t>工作资料</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18B6C4CD">
            <w:pPr>
              <w:jc w:val="center"/>
            </w:pPr>
            <w:r>
              <w:rPr>
                <w:rFonts w:ascii="宋体" w:hAnsi="宋体" w:eastAsia="宋体"/>
                <w:sz w:val="16"/>
              </w:rPr>
              <w:t>=100人</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6FAB4D91">
            <w:pPr>
              <w:jc w:val="center"/>
            </w:pPr>
            <w:r>
              <w:rPr>
                <w:rFonts w:ascii="宋体" w:hAnsi="宋体" w:eastAsia="宋体"/>
                <w:sz w:val="16"/>
              </w:rPr>
              <w:t>7</w:t>
            </w:r>
          </w:p>
        </w:tc>
        <w:tc>
          <w:tcPr>
            <w:tcW w:w="13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5D3B6">
            <w:pPr>
              <w:jc w:val="center"/>
            </w:pPr>
          </w:p>
        </w:tc>
      </w:tr>
      <w:tr w14:paraId="02D1F954">
        <w:tblPrEx>
          <w:tblCellMar>
            <w:top w:w="0" w:type="dxa"/>
            <w:left w:w="108" w:type="dxa"/>
            <w:bottom w:w="0" w:type="dxa"/>
            <w:right w:w="108" w:type="dxa"/>
          </w:tblCellMar>
        </w:tblPrEx>
        <w:trPr>
          <w:trHeight w:val="573" w:hRule="atLeast"/>
        </w:trPr>
        <w:tc>
          <w:tcPr>
            <w:tcW w:w="692" w:type="dxa"/>
            <w:vMerge w:val="continue"/>
            <w:tcBorders>
              <w:top w:val="single" w:color="auto" w:sz="10" w:space="0"/>
              <w:left w:val="single" w:color="auto" w:sz="10" w:space="0"/>
              <w:bottom w:val="single" w:color="auto" w:sz="10" w:space="0"/>
              <w:right w:val="single" w:color="auto" w:sz="10" w:space="0"/>
              <w:insideV w:val="single" w:sz="10" w:space="0"/>
            </w:tcBorders>
          </w:tcPr>
          <w:p w14:paraId="3294AD31"/>
        </w:tc>
        <w:tc>
          <w:tcPr>
            <w:tcW w:w="692" w:type="dxa"/>
            <w:vMerge w:val="continue"/>
            <w:tcBorders>
              <w:top w:val="single" w:color="auto" w:sz="10" w:space="0"/>
              <w:left w:val="single" w:color="auto" w:sz="10" w:space="0"/>
              <w:bottom w:val="single" w:color="auto" w:sz="10" w:space="0"/>
              <w:right w:val="single" w:color="auto" w:sz="10" w:space="0"/>
              <w:insideV w:val="single" w:sz="10" w:space="0"/>
            </w:tcBorders>
          </w:tcPr>
          <w:p w14:paraId="34234B62"/>
        </w:tc>
        <w:tc>
          <w:tcPr>
            <w:tcW w:w="693" w:type="dxa"/>
            <w:vMerge w:val="continue"/>
            <w:tcBorders>
              <w:top w:val="single" w:color="auto" w:sz="10" w:space="0"/>
              <w:left w:val="single" w:color="auto" w:sz="10" w:space="0"/>
              <w:bottom w:val="single" w:color="auto" w:sz="10" w:space="0"/>
              <w:right w:val="single" w:color="auto" w:sz="10" w:space="0"/>
              <w:insideV w:val="single" w:sz="10" w:space="0"/>
            </w:tcBorders>
          </w:tcPr>
          <w:p w14:paraId="22CD68E7"/>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36527373">
            <w:pPr>
              <w:jc w:val="center"/>
            </w:pPr>
            <w:r>
              <w:rPr>
                <w:rFonts w:ascii="宋体" w:hAnsi="宋体" w:eastAsia="宋体"/>
                <w:sz w:val="16"/>
              </w:rPr>
              <w:t>举办活动天数</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75A15750">
            <w:pPr>
              <w:jc w:val="center"/>
            </w:pPr>
            <w:r>
              <w:rPr>
                <w:rFonts w:ascii="宋体" w:hAnsi="宋体" w:eastAsia="宋体"/>
                <w:sz w:val="16"/>
              </w:rPr>
              <w:t>&gt;=4天</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20F6CF96">
            <w:pPr>
              <w:jc w:val="center"/>
            </w:pPr>
            <w:r>
              <w:rPr>
                <w:rFonts w:ascii="宋体" w:hAnsi="宋体" w:eastAsia="宋体"/>
                <w:sz w:val="16"/>
              </w:rPr>
              <w:t>计划标准</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4489215D">
            <w:pPr>
              <w:jc w:val="center"/>
            </w:pPr>
            <w:r>
              <w:rPr>
                <w:rFonts w:ascii="宋体" w:hAnsi="宋体" w:eastAsia="宋体"/>
                <w:sz w:val="16"/>
              </w:rPr>
              <w:t>新增</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2D1973D2">
            <w:pPr>
              <w:jc w:val="center"/>
            </w:pPr>
            <w:r>
              <w:rPr>
                <w:rFonts w:ascii="宋体" w:hAnsi="宋体" w:eastAsia="宋体"/>
                <w:sz w:val="16"/>
              </w:rPr>
              <w:t>7</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4A61DA71">
            <w:pPr>
              <w:jc w:val="center"/>
            </w:pPr>
            <w:r>
              <w:rPr>
                <w:rFonts w:ascii="宋体" w:hAnsi="宋体" w:eastAsia="宋体"/>
                <w:sz w:val="16"/>
              </w:rPr>
              <w:t>按照完成比例赋分</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4164385D">
            <w:pPr>
              <w:jc w:val="center"/>
            </w:pPr>
            <w:r>
              <w:rPr>
                <w:rFonts w:ascii="宋体" w:hAnsi="宋体" w:eastAsia="宋体"/>
                <w:sz w:val="16"/>
              </w:rPr>
              <w:t>工作资料</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2AC98FA8">
            <w:pPr>
              <w:jc w:val="center"/>
            </w:pPr>
            <w:r>
              <w:rPr>
                <w:rFonts w:ascii="宋体" w:hAnsi="宋体" w:eastAsia="宋体"/>
                <w:sz w:val="16"/>
              </w:rPr>
              <w:t>=4天</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5BE86F36">
            <w:pPr>
              <w:jc w:val="center"/>
            </w:pPr>
            <w:r>
              <w:rPr>
                <w:rFonts w:ascii="宋体" w:hAnsi="宋体" w:eastAsia="宋体"/>
                <w:sz w:val="16"/>
              </w:rPr>
              <w:t>7</w:t>
            </w:r>
          </w:p>
        </w:tc>
        <w:tc>
          <w:tcPr>
            <w:tcW w:w="13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FF6FE">
            <w:pPr>
              <w:jc w:val="center"/>
            </w:pPr>
          </w:p>
        </w:tc>
      </w:tr>
      <w:tr w14:paraId="74A83336">
        <w:tblPrEx>
          <w:tblCellMar>
            <w:top w:w="0" w:type="dxa"/>
            <w:left w:w="108" w:type="dxa"/>
            <w:bottom w:w="0" w:type="dxa"/>
            <w:right w:w="108" w:type="dxa"/>
          </w:tblCellMar>
        </w:tblPrEx>
        <w:trPr>
          <w:trHeight w:val="433" w:hRule="atLeast"/>
        </w:trPr>
        <w:tc>
          <w:tcPr>
            <w:tcW w:w="692" w:type="dxa"/>
            <w:vMerge w:val="continue"/>
            <w:tcBorders>
              <w:top w:val="single" w:color="auto" w:sz="10" w:space="0"/>
              <w:left w:val="single" w:color="auto" w:sz="10" w:space="0"/>
              <w:bottom w:val="single" w:color="auto" w:sz="10" w:space="0"/>
              <w:right w:val="single" w:color="auto" w:sz="10" w:space="0"/>
              <w:insideV w:val="single" w:sz="10" w:space="0"/>
            </w:tcBorders>
          </w:tcPr>
          <w:p w14:paraId="0835B40C"/>
        </w:tc>
        <w:tc>
          <w:tcPr>
            <w:tcW w:w="692" w:type="dxa"/>
            <w:vMerge w:val="continue"/>
            <w:tcBorders>
              <w:top w:val="single" w:color="auto" w:sz="10" w:space="0"/>
              <w:left w:val="single" w:color="auto" w:sz="10" w:space="0"/>
              <w:bottom w:val="single" w:color="auto" w:sz="10" w:space="0"/>
              <w:right w:val="single" w:color="auto" w:sz="10" w:space="0"/>
              <w:insideV w:val="single" w:sz="10" w:space="0"/>
            </w:tcBorders>
          </w:tcPr>
          <w:p w14:paraId="14AF9470"/>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5653CEE7">
            <w:pPr>
              <w:jc w:val="center"/>
            </w:pPr>
            <w:r>
              <w:rPr>
                <w:rFonts w:ascii="宋体" w:hAnsi="宋体" w:eastAsia="宋体"/>
                <w:sz w:val="16"/>
              </w:rPr>
              <w:t>质量指标</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102A9B15">
            <w:pPr>
              <w:jc w:val="center"/>
            </w:pPr>
            <w:r>
              <w:rPr>
                <w:rFonts w:ascii="宋体" w:hAnsi="宋体" w:eastAsia="宋体"/>
                <w:sz w:val="16"/>
              </w:rPr>
              <w:t>区域覆盖率</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6DBA51C8">
            <w:pPr>
              <w:jc w:val="center"/>
            </w:pPr>
            <w:r>
              <w:rPr>
                <w:rFonts w:ascii="宋体" w:hAnsi="宋体" w:eastAsia="宋体"/>
                <w:sz w:val="16"/>
              </w:rPr>
              <w:t>=100%</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2F458807">
            <w:pPr>
              <w:jc w:val="center"/>
            </w:pPr>
            <w:r>
              <w:rPr>
                <w:rFonts w:ascii="宋体" w:hAnsi="宋体" w:eastAsia="宋体"/>
                <w:sz w:val="16"/>
              </w:rPr>
              <w:t>计划标准</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34AFA838">
            <w:pPr>
              <w:jc w:val="center"/>
            </w:pPr>
            <w:r>
              <w:rPr>
                <w:rFonts w:ascii="宋体" w:hAnsi="宋体" w:eastAsia="宋体"/>
                <w:sz w:val="16"/>
              </w:rPr>
              <w:t>新增</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0F5FE17B">
            <w:pPr>
              <w:jc w:val="center"/>
            </w:pPr>
            <w:r>
              <w:rPr>
                <w:rFonts w:ascii="宋体" w:hAnsi="宋体" w:eastAsia="宋体"/>
                <w:sz w:val="16"/>
              </w:rPr>
              <w:t>6</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0D86145E">
            <w:pPr>
              <w:jc w:val="center"/>
            </w:pPr>
            <w:r>
              <w:rPr>
                <w:rFonts w:ascii="宋体" w:hAnsi="宋体" w:eastAsia="宋体"/>
                <w:sz w:val="16"/>
              </w:rPr>
              <w:t>直接赋分</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123B674C">
            <w:pPr>
              <w:jc w:val="center"/>
            </w:pPr>
            <w:r>
              <w:rPr>
                <w:rFonts w:ascii="宋体" w:hAnsi="宋体" w:eastAsia="宋体"/>
                <w:sz w:val="16"/>
              </w:rPr>
              <w:t>工作资料</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6EB480A4">
            <w:pPr>
              <w:jc w:val="center"/>
            </w:pPr>
            <w:r>
              <w:rPr>
                <w:rFonts w:ascii="宋体" w:hAnsi="宋体" w:eastAsia="宋体"/>
                <w:sz w:val="16"/>
              </w:rPr>
              <w:t>=100%</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7EDAF004">
            <w:pPr>
              <w:jc w:val="center"/>
            </w:pPr>
            <w:r>
              <w:rPr>
                <w:rFonts w:ascii="宋体" w:hAnsi="宋体" w:eastAsia="宋体"/>
                <w:sz w:val="16"/>
              </w:rPr>
              <w:t>6</w:t>
            </w:r>
          </w:p>
        </w:tc>
        <w:tc>
          <w:tcPr>
            <w:tcW w:w="13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2B0C4">
            <w:pPr>
              <w:jc w:val="center"/>
            </w:pPr>
          </w:p>
        </w:tc>
      </w:tr>
      <w:tr w14:paraId="04210294">
        <w:tblPrEx>
          <w:tblCellMar>
            <w:top w:w="0" w:type="dxa"/>
            <w:left w:w="108" w:type="dxa"/>
            <w:bottom w:w="0" w:type="dxa"/>
            <w:right w:w="108" w:type="dxa"/>
          </w:tblCellMar>
        </w:tblPrEx>
        <w:trPr>
          <w:trHeight w:val="573" w:hRule="atLeast"/>
        </w:trPr>
        <w:tc>
          <w:tcPr>
            <w:tcW w:w="692" w:type="dxa"/>
            <w:vMerge w:val="continue"/>
            <w:tcBorders>
              <w:top w:val="single" w:color="auto" w:sz="10" w:space="0"/>
              <w:left w:val="single" w:color="auto" w:sz="10" w:space="0"/>
              <w:bottom w:val="single" w:color="auto" w:sz="10" w:space="0"/>
              <w:right w:val="single" w:color="auto" w:sz="10" w:space="0"/>
              <w:insideV w:val="single" w:sz="10" w:space="0"/>
            </w:tcBorders>
          </w:tcPr>
          <w:p w14:paraId="2255B8FE"/>
        </w:tc>
        <w:tc>
          <w:tcPr>
            <w:tcW w:w="692" w:type="dxa"/>
            <w:vMerge w:val="continue"/>
            <w:tcBorders>
              <w:top w:val="single" w:color="auto" w:sz="10" w:space="0"/>
              <w:left w:val="single" w:color="auto" w:sz="10" w:space="0"/>
              <w:bottom w:val="single" w:color="auto" w:sz="10" w:space="0"/>
              <w:right w:val="single" w:color="auto" w:sz="10" w:space="0"/>
              <w:insideV w:val="single" w:sz="10" w:space="0"/>
            </w:tcBorders>
          </w:tcPr>
          <w:p w14:paraId="7DC0B613"/>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2C83CA58">
            <w:pPr>
              <w:jc w:val="center"/>
            </w:pPr>
            <w:r>
              <w:rPr>
                <w:rFonts w:ascii="宋体" w:hAnsi="宋体" w:eastAsia="宋体"/>
                <w:sz w:val="16"/>
              </w:rPr>
              <w:t>时效指标</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4BFF62B2">
            <w:pPr>
              <w:jc w:val="center"/>
            </w:pPr>
            <w:r>
              <w:rPr>
                <w:rFonts w:ascii="宋体" w:hAnsi="宋体" w:eastAsia="宋体"/>
                <w:sz w:val="16"/>
              </w:rPr>
              <w:t>项目完成时间</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498CFA0D">
            <w:pPr>
              <w:jc w:val="center"/>
            </w:pPr>
            <w:r>
              <w:rPr>
                <w:rFonts w:ascii="宋体" w:hAnsi="宋体" w:eastAsia="宋体"/>
                <w:sz w:val="16"/>
              </w:rPr>
              <w:t>=2024年11月23日前</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075509FC">
            <w:pPr>
              <w:jc w:val="center"/>
            </w:pPr>
            <w:r>
              <w:rPr>
                <w:rFonts w:ascii="宋体" w:hAnsi="宋体" w:eastAsia="宋体"/>
                <w:sz w:val="16"/>
              </w:rPr>
              <w:t>计划标准</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3B47E1F1">
            <w:pPr>
              <w:jc w:val="center"/>
            </w:pPr>
            <w:r>
              <w:rPr>
                <w:rFonts w:ascii="宋体" w:hAnsi="宋体" w:eastAsia="宋体"/>
                <w:sz w:val="16"/>
              </w:rPr>
              <w:t>新增</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569DC7F3">
            <w:pPr>
              <w:jc w:val="center"/>
            </w:pPr>
            <w:r>
              <w:rPr>
                <w:rFonts w:ascii="宋体" w:hAnsi="宋体" w:eastAsia="宋体"/>
                <w:sz w:val="16"/>
              </w:rPr>
              <w:t>6</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33B80B38">
            <w:pPr>
              <w:jc w:val="center"/>
            </w:pPr>
            <w:r>
              <w:rPr>
                <w:rFonts w:ascii="宋体" w:hAnsi="宋体" w:eastAsia="宋体"/>
                <w:sz w:val="16"/>
              </w:rPr>
              <w:t>按照完成比例赋分</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5E48965A">
            <w:pPr>
              <w:jc w:val="center"/>
            </w:pPr>
            <w:r>
              <w:rPr>
                <w:rFonts w:ascii="宋体" w:hAnsi="宋体" w:eastAsia="宋体"/>
                <w:sz w:val="16"/>
              </w:rPr>
              <w:t>原始凭证</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7B442F48">
            <w:pPr>
              <w:jc w:val="center"/>
            </w:pPr>
            <w:r>
              <w:rPr>
                <w:rFonts w:ascii="宋体" w:hAnsi="宋体" w:eastAsia="宋体"/>
                <w:sz w:val="16"/>
              </w:rPr>
              <w:t>=2024年11月22日</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3EF83D8E">
            <w:pPr>
              <w:jc w:val="center"/>
            </w:pPr>
            <w:r>
              <w:rPr>
                <w:rFonts w:ascii="宋体" w:hAnsi="宋体" w:eastAsia="宋体"/>
                <w:sz w:val="16"/>
              </w:rPr>
              <w:t>6</w:t>
            </w:r>
          </w:p>
        </w:tc>
        <w:tc>
          <w:tcPr>
            <w:tcW w:w="13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AC6B7">
            <w:pPr>
              <w:jc w:val="center"/>
            </w:pPr>
          </w:p>
        </w:tc>
      </w:tr>
      <w:tr w14:paraId="5965DA54">
        <w:tblPrEx>
          <w:tblCellMar>
            <w:top w:w="0" w:type="dxa"/>
            <w:left w:w="108" w:type="dxa"/>
            <w:bottom w:w="0" w:type="dxa"/>
            <w:right w:w="108" w:type="dxa"/>
          </w:tblCellMar>
        </w:tblPrEx>
        <w:trPr>
          <w:trHeight w:val="1414" w:hRule="atLeast"/>
        </w:trPr>
        <w:tc>
          <w:tcPr>
            <w:tcW w:w="692" w:type="dxa"/>
            <w:vMerge w:val="continue"/>
            <w:tcBorders>
              <w:top w:val="single" w:color="auto" w:sz="10" w:space="0"/>
              <w:left w:val="single" w:color="auto" w:sz="10" w:space="0"/>
              <w:bottom w:val="single" w:color="auto" w:sz="10" w:space="0"/>
              <w:right w:val="single" w:color="auto" w:sz="10" w:space="0"/>
              <w:insideV w:val="single" w:sz="10" w:space="0"/>
            </w:tcBorders>
          </w:tcPr>
          <w:p w14:paraId="76340B5D"/>
        </w:tc>
        <w:tc>
          <w:tcPr>
            <w:tcW w:w="69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C3370F">
            <w:pPr>
              <w:jc w:val="center"/>
            </w:pPr>
            <w:r>
              <w:rPr>
                <w:rFonts w:ascii="宋体" w:hAnsi="宋体" w:eastAsia="宋体"/>
                <w:sz w:val="16"/>
              </w:rPr>
              <w:t>成本指标</w:t>
            </w:r>
          </w:p>
        </w:tc>
        <w:tc>
          <w:tcPr>
            <w:tcW w:w="69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09FDE1">
            <w:pPr>
              <w:jc w:val="center"/>
            </w:pPr>
            <w:r>
              <w:rPr>
                <w:rFonts w:ascii="宋体" w:hAnsi="宋体" w:eastAsia="宋体"/>
                <w:sz w:val="16"/>
              </w:rPr>
              <w:t>经济成本指标</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4ED0E338">
            <w:pPr>
              <w:jc w:val="center"/>
            </w:pPr>
            <w:r>
              <w:rPr>
                <w:rFonts w:ascii="宋体" w:hAnsi="宋体" w:eastAsia="宋体"/>
                <w:sz w:val="16"/>
              </w:rPr>
              <w:t>宣传活动成本</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06338097">
            <w:pPr>
              <w:jc w:val="center"/>
            </w:pPr>
            <w:r>
              <w:rPr>
                <w:rFonts w:ascii="宋体" w:hAnsi="宋体" w:eastAsia="宋体"/>
                <w:sz w:val="16"/>
              </w:rPr>
              <w:t>&lt;=6.2万元</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19E027EA">
            <w:pPr>
              <w:jc w:val="center"/>
            </w:pPr>
            <w:r>
              <w:rPr>
                <w:rFonts w:ascii="宋体" w:hAnsi="宋体" w:eastAsia="宋体"/>
                <w:sz w:val="16"/>
              </w:rPr>
              <w:t>预算支出标准</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69B5F063">
            <w:pPr>
              <w:jc w:val="center"/>
            </w:pPr>
            <w:r>
              <w:rPr>
                <w:rFonts w:ascii="宋体" w:hAnsi="宋体" w:eastAsia="宋体"/>
                <w:sz w:val="16"/>
              </w:rPr>
              <w:t>新增</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33F2366C">
            <w:pPr>
              <w:jc w:val="center"/>
            </w:pPr>
            <w:r>
              <w:rPr>
                <w:rFonts w:ascii="宋体" w:hAnsi="宋体" w:eastAsia="宋体"/>
                <w:sz w:val="16"/>
              </w:rPr>
              <w:t>10</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0A92F864">
            <w:pPr>
              <w:jc w:val="center"/>
            </w:pPr>
            <w:r>
              <w:rPr>
                <w:rFonts w:ascii="宋体" w:hAnsi="宋体" w:eastAsia="宋体"/>
                <w:sz w:val="16"/>
              </w:rPr>
              <w:t>按照完成比例赋分</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55069948">
            <w:pPr>
              <w:jc w:val="center"/>
            </w:pPr>
            <w:r>
              <w:rPr>
                <w:rFonts w:ascii="宋体" w:hAnsi="宋体" w:eastAsia="宋体"/>
                <w:sz w:val="16"/>
              </w:rPr>
              <w:t>原始凭证</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1F2DFDF8">
            <w:pPr>
              <w:jc w:val="center"/>
            </w:pPr>
            <w:r>
              <w:rPr>
                <w:rFonts w:ascii="宋体" w:hAnsi="宋体" w:eastAsia="宋体"/>
                <w:sz w:val="16"/>
              </w:rPr>
              <w:t>=5.8万元</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6573CB15">
            <w:pPr>
              <w:jc w:val="center"/>
            </w:pPr>
            <w:r>
              <w:rPr>
                <w:rFonts w:ascii="宋体" w:hAnsi="宋体" w:eastAsia="宋体"/>
                <w:sz w:val="16"/>
              </w:rPr>
              <w:t>8.39</w:t>
            </w:r>
          </w:p>
        </w:tc>
        <w:tc>
          <w:tcPr>
            <w:tcW w:w="13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BFEFA">
            <w:pPr>
              <w:jc w:val="center"/>
            </w:pPr>
            <w:r>
              <w:rPr>
                <w:rFonts w:ascii="宋体" w:hAnsi="宋体" w:eastAsia="宋体"/>
                <w:sz w:val="16"/>
              </w:rPr>
              <w:t>项目初期，对受益对象需求的理解存在偏差，导致预期值设置偏高，导致出现偏差，改进措施：深入分析，充分了解受益对象的需求变化，更好地把握和预测。</w:t>
            </w:r>
          </w:p>
        </w:tc>
      </w:tr>
      <w:tr w14:paraId="23DB90A0">
        <w:tblPrEx>
          <w:tblCellMar>
            <w:top w:w="0" w:type="dxa"/>
            <w:left w:w="108" w:type="dxa"/>
            <w:bottom w:w="0" w:type="dxa"/>
            <w:right w:w="108" w:type="dxa"/>
          </w:tblCellMar>
        </w:tblPrEx>
        <w:trPr>
          <w:trHeight w:val="573" w:hRule="atLeast"/>
        </w:trPr>
        <w:tc>
          <w:tcPr>
            <w:tcW w:w="692" w:type="dxa"/>
            <w:vMerge w:val="continue"/>
            <w:tcBorders>
              <w:top w:val="single" w:color="auto" w:sz="10" w:space="0"/>
              <w:left w:val="single" w:color="auto" w:sz="10" w:space="0"/>
              <w:bottom w:val="single" w:color="auto" w:sz="10" w:space="0"/>
              <w:right w:val="single" w:color="auto" w:sz="10" w:space="0"/>
              <w:insideV w:val="single" w:sz="10" w:space="0"/>
            </w:tcBorders>
          </w:tcPr>
          <w:p w14:paraId="1396CE8C"/>
        </w:tc>
        <w:tc>
          <w:tcPr>
            <w:tcW w:w="692" w:type="dxa"/>
            <w:vMerge w:val="continue"/>
            <w:tcBorders>
              <w:top w:val="single" w:color="auto" w:sz="10" w:space="0"/>
              <w:left w:val="single" w:color="auto" w:sz="10" w:space="0"/>
              <w:bottom w:val="single" w:color="auto" w:sz="10" w:space="0"/>
              <w:right w:val="single" w:color="auto" w:sz="10" w:space="0"/>
              <w:insideV w:val="single" w:sz="10" w:space="0"/>
            </w:tcBorders>
          </w:tcPr>
          <w:p w14:paraId="23422E2D"/>
        </w:tc>
        <w:tc>
          <w:tcPr>
            <w:tcW w:w="693" w:type="dxa"/>
            <w:vMerge w:val="continue"/>
            <w:tcBorders>
              <w:top w:val="single" w:color="auto" w:sz="10" w:space="0"/>
              <w:left w:val="single" w:color="auto" w:sz="10" w:space="0"/>
              <w:bottom w:val="single" w:color="auto" w:sz="10" w:space="0"/>
              <w:right w:val="single" w:color="auto" w:sz="10" w:space="0"/>
              <w:insideV w:val="single" w:sz="10" w:space="0"/>
            </w:tcBorders>
          </w:tcPr>
          <w:p w14:paraId="1DB1BC7F"/>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4DF035D6">
            <w:pPr>
              <w:jc w:val="center"/>
            </w:pPr>
            <w:r>
              <w:rPr>
                <w:rFonts w:ascii="宋体" w:hAnsi="宋体" w:eastAsia="宋体"/>
                <w:sz w:val="16"/>
              </w:rPr>
              <w:t>报刊杂志征订成本</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0AFD84DF">
            <w:pPr>
              <w:jc w:val="center"/>
            </w:pPr>
            <w:r>
              <w:rPr>
                <w:rFonts w:ascii="宋体" w:hAnsi="宋体" w:eastAsia="宋体"/>
                <w:sz w:val="16"/>
              </w:rPr>
              <w:t>&lt;=2.19万元</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0A03FEE3">
            <w:pPr>
              <w:jc w:val="center"/>
            </w:pPr>
            <w:r>
              <w:rPr>
                <w:rFonts w:ascii="宋体" w:hAnsi="宋体" w:eastAsia="宋体"/>
                <w:sz w:val="16"/>
              </w:rPr>
              <w:t>预算支出标准</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22E75E39">
            <w:pPr>
              <w:jc w:val="center"/>
            </w:pPr>
            <w:r>
              <w:rPr>
                <w:rFonts w:ascii="宋体" w:hAnsi="宋体" w:eastAsia="宋体"/>
                <w:sz w:val="16"/>
              </w:rPr>
              <w:t>新增</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7EC3973C">
            <w:pPr>
              <w:jc w:val="center"/>
            </w:pPr>
            <w:r>
              <w:rPr>
                <w:rFonts w:ascii="宋体" w:hAnsi="宋体" w:eastAsia="宋体"/>
                <w:sz w:val="16"/>
              </w:rPr>
              <w:t>10</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38818A55">
            <w:pPr>
              <w:jc w:val="center"/>
            </w:pPr>
            <w:r>
              <w:rPr>
                <w:rFonts w:ascii="宋体" w:hAnsi="宋体" w:eastAsia="宋体"/>
                <w:sz w:val="16"/>
              </w:rPr>
              <w:t>按照完成比例赋分</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013B2F97">
            <w:pPr>
              <w:jc w:val="center"/>
            </w:pPr>
            <w:r>
              <w:rPr>
                <w:rFonts w:ascii="宋体" w:hAnsi="宋体" w:eastAsia="宋体"/>
                <w:sz w:val="16"/>
              </w:rPr>
              <w:t>原始凭证</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05EE09B3">
            <w:pPr>
              <w:jc w:val="center"/>
            </w:pPr>
            <w:r>
              <w:rPr>
                <w:rFonts w:ascii="宋体" w:hAnsi="宋体" w:eastAsia="宋体"/>
                <w:sz w:val="16"/>
              </w:rPr>
              <w:t>=2.19万元</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35D58DD6">
            <w:pPr>
              <w:jc w:val="center"/>
            </w:pPr>
            <w:r>
              <w:rPr>
                <w:rFonts w:ascii="宋体" w:hAnsi="宋体" w:eastAsia="宋体"/>
                <w:sz w:val="16"/>
              </w:rPr>
              <w:t>10</w:t>
            </w:r>
          </w:p>
        </w:tc>
        <w:tc>
          <w:tcPr>
            <w:tcW w:w="13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9CD2F">
            <w:pPr>
              <w:jc w:val="center"/>
            </w:pPr>
          </w:p>
        </w:tc>
      </w:tr>
      <w:tr w14:paraId="0B1F39EE">
        <w:tblPrEx>
          <w:tblCellMar>
            <w:top w:w="0" w:type="dxa"/>
            <w:left w:w="108" w:type="dxa"/>
            <w:bottom w:w="0" w:type="dxa"/>
            <w:right w:w="108" w:type="dxa"/>
          </w:tblCellMar>
        </w:tblPrEx>
        <w:trPr>
          <w:trHeight w:val="853" w:hRule="atLeast"/>
        </w:trPr>
        <w:tc>
          <w:tcPr>
            <w:tcW w:w="692" w:type="dxa"/>
            <w:vMerge w:val="continue"/>
            <w:tcBorders>
              <w:top w:val="single" w:color="auto" w:sz="10" w:space="0"/>
              <w:left w:val="single" w:color="auto" w:sz="10" w:space="0"/>
              <w:bottom w:val="single" w:color="auto" w:sz="10" w:space="0"/>
              <w:right w:val="single" w:color="auto" w:sz="10" w:space="0"/>
              <w:insideV w:val="single" w:sz="10" w:space="0"/>
            </w:tcBorders>
          </w:tcPr>
          <w:p w14:paraId="5AD69E5B"/>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530BB24E">
            <w:pPr>
              <w:jc w:val="center"/>
            </w:pPr>
            <w:r>
              <w:rPr>
                <w:rFonts w:ascii="宋体" w:hAnsi="宋体" w:eastAsia="宋体"/>
                <w:sz w:val="16"/>
              </w:rPr>
              <w:t>效益指标</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753CAE8D">
            <w:pPr>
              <w:jc w:val="center"/>
            </w:pPr>
            <w:r>
              <w:rPr>
                <w:rFonts w:ascii="宋体" w:hAnsi="宋体" w:eastAsia="宋体"/>
                <w:sz w:val="16"/>
              </w:rPr>
              <w:t>社会效益指标</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508EB14D">
            <w:pPr>
              <w:jc w:val="center"/>
            </w:pPr>
            <w:r>
              <w:rPr>
                <w:rFonts w:ascii="宋体" w:hAnsi="宋体" w:eastAsia="宋体"/>
                <w:sz w:val="16"/>
              </w:rPr>
              <w:t>促进开发区党风廉政建设</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7E2933B9">
            <w:pPr>
              <w:jc w:val="center"/>
            </w:pPr>
            <w:r>
              <w:rPr>
                <w:rFonts w:ascii="宋体" w:hAnsi="宋体" w:eastAsia="宋体"/>
                <w:sz w:val="16"/>
              </w:rPr>
              <w:t>促进</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73725C81">
            <w:pPr>
              <w:jc w:val="center"/>
            </w:pPr>
            <w:r>
              <w:rPr>
                <w:rFonts w:ascii="宋体" w:hAnsi="宋体" w:eastAsia="宋体"/>
                <w:sz w:val="16"/>
              </w:rPr>
              <w:t>计划标准</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6891680B">
            <w:pPr>
              <w:jc w:val="center"/>
            </w:pPr>
            <w:r>
              <w:rPr>
                <w:rFonts w:ascii="宋体" w:hAnsi="宋体" w:eastAsia="宋体"/>
                <w:sz w:val="16"/>
              </w:rPr>
              <w:t>促进</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1497F66A">
            <w:pPr>
              <w:jc w:val="center"/>
            </w:pPr>
            <w:r>
              <w:rPr>
                <w:rFonts w:ascii="宋体" w:hAnsi="宋体" w:eastAsia="宋体"/>
                <w:sz w:val="16"/>
              </w:rPr>
              <w:t>20</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76C76653">
            <w:pPr>
              <w:jc w:val="center"/>
            </w:pPr>
            <w:r>
              <w:rPr>
                <w:rFonts w:ascii="宋体" w:hAnsi="宋体" w:eastAsia="宋体"/>
                <w:sz w:val="16"/>
              </w:rPr>
              <w:t>按评判等级赋分</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6A98AA2C">
            <w:pPr>
              <w:jc w:val="center"/>
            </w:pPr>
            <w:r>
              <w:rPr>
                <w:rFonts w:ascii="宋体" w:hAnsi="宋体" w:eastAsia="宋体"/>
                <w:sz w:val="16"/>
              </w:rPr>
              <w:t>工作资料</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2D2B2FBD">
            <w:pPr>
              <w:jc w:val="center"/>
            </w:pPr>
            <w:r>
              <w:rPr>
                <w:rFonts w:ascii="宋体" w:hAnsi="宋体" w:eastAsia="宋体"/>
                <w:sz w:val="16"/>
              </w:rPr>
              <w:t>促进</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0AB0AFEA">
            <w:pPr>
              <w:jc w:val="center"/>
            </w:pPr>
            <w:r>
              <w:rPr>
                <w:rFonts w:ascii="宋体" w:hAnsi="宋体" w:eastAsia="宋体"/>
                <w:sz w:val="16"/>
              </w:rPr>
              <w:t>20</w:t>
            </w:r>
          </w:p>
        </w:tc>
        <w:tc>
          <w:tcPr>
            <w:tcW w:w="13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2469F">
            <w:pPr>
              <w:jc w:val="center"/>
            </w:pPr>
          </w:p>
        </w:tc>
      </w:tr>
      <w:tr w14:paraId="59ED3159">
        <w:tblPrEx>
          <w:tblCellMar>
            <w:top w:w="0" w:type="dxa"/>
            <w:left w:w="108" w:type="dxa"/>
            <w:bottom w:w="0" w:type="dxa"/>
            <w:right w:w="108" w:type="dxa"/>
          </w:tblCellMar>
        </w:tblPrEx>
        <w:trPr>
          <w:trHeight w:val="1134" w:hRule="atLeast"/>
        </w:trPr>
        <w:tc>
          <w:tcPr>
            <w:tcW w:w="692" w:type="dxa"/>
            <w:vMerge w:val="continue"/>
            <w:tcBorders>
              <w:top w:val="single" w:color="auto" w:sz="10" w:space="0"/>
              <w:left w:val="single" w:color="auto" w:sz="10" w:space="0"/>
              <w:bottom w:val="single" w:color="auto" w:sz="10" w:space="0"/>
              <w:right w:val="single" w:color="auto" w:sz="10" w:space="0"/>
              <w:insideV w:val="single" w:sz="10" w:space="0"/>
            </w:tcBorders>
          </w:tcPr>
          <w:p w14:paraId="2DA57C0D"/>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2FE06F56">
            <w:pPr>
              <w:jc w:val="center"/>
            </w:pPr>
            <w:r>
              <w:rPr>
                <w:rFonts w:ascii="宋体" w:hAnsi="宋体" w:eastAsia="宋体"/>
                <w:sz w:val="16"/>
              </w:rPr>
              <w:t>满意度指标</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5669CF97">
            <w:pPr>
              <w:jc w:val="center"/>
            </w:pPr>
            <w:r>
              <w:rPr>
                <w:rFonts w:ascii="宋体" w:hAnsi="宋体" w:eastAsia="宋体"/>
                <w:sz w:val="16"/>
              </w:rPr>
              <w:t>满意度指标</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5519A014">
            <w:pPr>
              <w:jc w:val="center"/>
            </w:pPr>
            <w:r>
              <w:rPr>
                <w:rFonts w:ascii="宋体" w:hAnsi="宋体" w:eastAsia="宋体"/>
                <w:sz w:val="16"/>
              </w:rPr>
              <w:t>参加活动人员满意度</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3C8FE32D">
            <w:pPr>
              <w:jc w:val="center"/>
            </w:pPr>
            <w:r>
              <w:rPr>
                <w:rFonts w:ascii="宋体" w:hAnsi="宋体" w:eastAsia="宋体"/>
                <w:sz w:val="16"/>
              </w:rPr>
              <w:t>&gt;=95%</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3277D804">
            <w:pPr>
              <w:jc w:val="center"/>
            </w:pPr>
            <w:r>
              <w:rPr>
                <w:rFonts w:ascii="宋体" w:hAnsi="宋体" w:eastAsia="宋体"/>
                <w:sz w:val="16"/>
              </w:rPr>
              <w:t>计划标准</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055D386F">
            <w:pPr>
              <w:jc w:val="center"/>
            </w:pPr>
            <w:r>
              <w:rPr>
                <w:rFonts w:ascii="宋体" w:hAnsi="宋体" w:eastAsia="宋体"/>
                <w:sz w:val="16"/>
              </w:rPr>
              <w:t>新增</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70E9DFEF">
            <w:pPr>
              <w:jc w:val="center"/>
            </w:pPr>
            <w:r>
              <w:rPr>
                <w:rFonts w:ascii="宋体" w:hAnsi="宋体" w:eastAsia="宋体"/>
                <w:sz w:val="16"/>
              </w:rPr>
              <w:t>10</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0E5D1232">
            <w:pPr>
              <w:jc w:val="center"/>
            </w:pPr>
            <w:r>
              <w:rPr>
                <w:rFonts w:ascii="宋体" w:hAnsi="宋体" w:eastAsia="宋体"/>
                <w:sz w:val="16"/>
              </w:rPr>
              <w:t>满意度赋分</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2A33B4B2">
            <w:pPr>
              <w:jc w:val="center"/>
            </w:pPr>
            <w:r>
              <w:rPr>
                <w:rFonts w:ascii="宋体" w:hAnsi="宋体" w:eastAsia="宋体"/>
                <w:sz w:val="16"/>
              </w:rPr>
              <w:t>工作资料</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15BEA911">
            <w:pPr>
              <w:jc w:val="center"/>
            </w:pPr>
            <w:r>
              <w:rPr>
                <w:rFonts w:ascii="宋体" w:hAnsi="宋体" w:eastAsia="宋体"/>
                <w:sz w:val="16"/>
              </w:rPr>
              <w:t>=100%</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4BFBD01F">
            <w:pPr>
              <w:jc w:val="center"/>
            </w:pPr>
            <w:r>
              <w:rPr>
                <w:rFonts w:ascii="宋体" w:hAnsi="宋体" w:eastAsia="宋体"/>
                <w:sz w:val="16"/>
              </w:rPr>
              <w:t>10</w:t>
            </w:r>
          </w:p>
        </w:tc>
        <w:tc>
          <w:tcPr>
            <w:tcW w:w="13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C00E2">
            <w:pPr>
              <w:jc w:val="center"/>
            </w:pPr>
            <w:r>
              <w:rPr>
                <w:rFonts w:ascii="宋体" w:hAnsi="宋体" w:eastAsia="宋体"/>
                <w:sz w:val="16"/>
              </w:rPr>
              <w:t>该项目完成情况较好，实际参加活动人员满意度高，因此指标出现偏差，改正措施，合理预测预期目标值避免出现偏差。</w:t>
            </w:r>
          </w:p>
        </w:tc>
      </w:tr>
      <w:tr w14:paraId="55C82CF2">
        <w:tblPrEx>
          <w:tblCellMar>
            <w:top w:w="0" w:type="dxa"/>
            <w:left w:w="108" w:type="dxa"/>
            <w:bottom w:w="0" w:type="dxa"/>
            <w:right w:w="108" w:type="dxa"/>
          </w:tblCellMar>
        </w:tblPrEx>
        <w:trPr>
          <w:trHeight w:val="303" w:hRule="atLeast"/>
        </w:trPr>
        <w:tc>
          <w:tcPr>
            <w:tcW w:w="491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CF2EFB">
            <w:pPr>
              <w:jc w:val="center"/>
            </w:pPr>
            <w:r>
              <w:rPr>
                <w:rFonts w:ascii="宋体" w:hAnsi="宋体" w:eastAsia="宋体"/>
                <w:sz w:val="16"/>
              </w:rPr>
              <w:t>总分</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6DAF8F99">
            <w:pPr>
              <w:jc w:val="center"/>
            </w:pPr>
            <w:r>
              <w:rPr>
                <w:rFonts w:ascii="宋体" w:hAnsi="宋体" w:eastAsia="宋体"/>
                <w:sz w:val="16"/>
              </w:rPr>
              <w:t>100</w:t>
            </w:r>
          </w:p>
        </w:tc>
        <w:tc>
          <w:tcPr>
            <w:tcW w:w="2077" w:type="dxa"/>
            <w:gridSpan w:val="3"/>
            <w:tcBorders>
              <w:top w:val="single" w:color="auto" w:sz="10" w:space="0"/>
              <w:left w:val="single" w:color="auto" w:sz="10" w:space="0"/>
              <w:bottom w:val="single" w:color="auto" w:sz="10" w:space="0"/>
              <w:right w:val="single" w:color="auto" w:sz="10" w:space="0"/>
              <w:insideV w:val="single" w:sz="10" w:space="0"/>
            </w:tcBorders>
          </w:tcPr>
          <w:p w14:paraId="1BE04A9F"/>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4F0FCD82">
            <w:pPr>
              <w:jc w:val="center"/>
            </w:pPr>
            <w:r>
              <w:rPr>
                <w:rFonts w:ascii="宋体" w:hAnsi="宋体" w:eastAsia="宋体"/>
                <w:sz w:val="16"/>
              </w:rPr>
              <w:t>97.2分</w:t>
            </w:r>
          </w:p>
        </w:tc>
        <w:tc>
          <w:tcPr>
            <w:tcW w:w="1396" w:type="dxa"/>
            <w:gridSpan w:val="2"/>
            <w:tcBorders>
              <w:top w:val="single" w:color="auto" w:sz="10" w:space="0"/>
              <w:left w:val="single" w:color="auto" w:sz="10" w:space="0"/>
              <w:bottom w:val="single" w:color="auto" w:sz="10" w:space="0"/>
              <w:right w:val="single" w:color="auto" w:sz="10" w:space="0"/>
              <w:insideV w:val="single" w:sz="10" w:space="0"/>
            </w:tcBorders>
          </w:tcPr>
          <w:p w14:paraId="4A4B098E"/>
        </w:tc>
      </w:tr>
    </w:tbl>
    <w:p w14:paraId="657EEABA">
      <w:r>
        <w:br w:type="page"/>
      </w:r>
    </w:p>
    <w:p w14:paraId="7A8C7CA6">
      <w:pPr>
        <w:spacing w:line="640" w:lineRule="exact"/>
        <w:ind w:firstLine="640"/>
        <w:jc w:val="both"/>
        <w:outlineLvl w:val="2"/>
      </w:pPr>
      <w:r>
        <w:rPr>
          <w:rFonts w:ascii="黑体" w:hAnsi="黑体" w:eastAsia="黑体"/>
          <w:sz w:val="32"/>
        </w:rPr>
        <w:t>十二、其他需说明的事项</w:t>
      </w:r>
    </w:p>
    <w:p w14:paraId="78549080">
      <w:pPr>
        <w:spacing w:line="580" w:lineRule="exact"/>
        <w:ind w:firstLine="640"/>
        <w:jc w:val="both"/>
      </w:pPr>
      <w:r>
        <w:rPr>
          <w:rFonts w:ascii="仿宋_GB2312" w:hAnsi="仿宋_GB2312" w:eastAsia="仿宋_GB2312"/>
          <w:b w:val="0"/>
          <w:sz w:val="32"/>
        </w:rPr>
        <w:t>本单位无其他需说明的事项。</w:t>
      </w:r>
      <w:bookmarkStart w:id="0" w:name="_GoBack"/>
      <w:bookmarkEnd w:id="0"/>
    </w:p>
    <w:p w14:paraId="12AFB080">
      <w:r>
        <w:br w:type="page"/>
      </w:r>
    </w:p>
    <w:p w14:paraId="10452537">
      <w:pPr>
        <w:spacing w:line="240" w:lineRule="auto"/>
        <w:jc w:val="center"/>
        <w:outlineLvl w:val="1"/>
      </w:pPr>
      <w:r>
        <w:rPr>
          <w:rFonts w:ascii="黑体" w:hAnsi="黑体" w:eastAsia="黑体"/>
          <w:sz w:val="32"/>
        </w:rPr>
        <w:t>第三部分 专业名词解释</w:t>
      </w:r>
    </w:p>
    <w:p w14:paraId="48E54AD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8506D2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2B4BD9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2E623A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CB7D71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2470D5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787200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7C84DC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64AD11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D55D29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3C3618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3BC72B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6C7D8F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2B25C4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F3C2217">
      <w:r>
        <w:br w:type="page"/>
      </w:r>
    </w:p>
    <w:p w14:paraId="7AF2F9E2">
      <w:pPr>
        <w:spacing w:line="240" w:lineRule="auto"/>
        <w:jc w:val="center"/>
        <w:outlineLvl w:val="1"/>
      </w:pPr>
      <w:r>
        <w:rPr>
          <w:rFonts w:ascii="黑体" w:hAnsi="黑体" w:eastAsia="黑体"/>
          <w:sz w:val="32"/>
        </w:rPr>
        <w:t>第四部分 部门决算报表（见附表）</w:t>
      </w:r>
    </w:p>
    <w:p w14:paraId="595EC166">
      <w:pPr>
        <w:spacing w:line="240" w:lineRule="auto"/>
        <w:ind w:firstLine="640"/>
        <w:jc w:val="both"/>
      </w:pPr>
      <w:r>
        <w:rPr>
          <w:rFonts w:ascii="仿宋_GB2312" w:hAnsi="仿宋_GB2312" w:eastAsia="仿宋_GB2312"/>
          <w:b w:val="0"/>
          <w:sz w:val="32"/>
        </w:rPr>
        <w:t>一、《收入支出决算总表》</w:t>
      </w:r>
    </w:p>
    <w:p w14:paraId="2E5FD40E">
      <w:pPr>
        <w:spacing w:line="240" w:lineRule="auto"/>
        <w:ind w:firstLine="640"/>
        <w:jc w:val="both"/>
      </w:pPr>
      <w:r>
        <w:rPr>
          <w:rFonts w:ascii="仿宋_GB2312" w:hAnsi="仿宋_GB2312" w:eastAsia="仿宋_GB2312"/>
          <w:b w:val="0"/>
          <w:sz w:val="32"/>
        </w:rPr>
        <w:t>二、《收入决算表》</w:t>
      </w:r>
    </w:p>
    <w:p w14:paraId="665EC1AB">
      <w:pPr>
        <w:spacing w:line="240" w:lineRule="auto"/>
        <w:ind w:firstLine="640"/>
        <w:jc w:val="both"/>
      </w:pPr>
      <w:r>
        <w:rPr>
          <w:rFonts w:ascii="仿宋_GB2312" w:hAnsi="仿宋_GB2312" w:eastAsia="仿宋_GB2312"/>
          <w:b w:val="0"/>
          <w:sz w:val="32"/>
        </w:rPr>
        <w:t>三、《支出决算表》</w:t>
      </w:r>
    </w:p>
    <w:p w14:paraId="62020B15">
      <w:pPr>
        <w:spacing w:line="240" w:lineRule="auto"/>
        <w:ind w:firstLine="640"/>
        <w:jc w:val="both"/>
      </w:pPr>
      <w:r>
        <w:rPr>
          <w:rFonts w:ascii="仿宋_GB2312" w:hAnsi="仿宋_GB2312" w:eastAsia="仿宋_GB2312"/>
          <w:b w:val="0"/>
          <w:sz w:val="32"/>
        </w:rPr>
        <w:t>四、《财政拨款收入支出决算总表》</w:t>
      </w:r>
    </w:p>
    <w:p w14:paraId="2F285859">
      <w:pPr>
        <w:spacing w:line="240" w:lineRule="auto"/>
        <w:ind w:firstLine="640"/>
        <w:jc w:val="both"/>
      </w:pPr>
      <w:r>
        <w:rPr>
          <w:rFonts w:ascii="仿宋_GB2312" w:hAnsi="仿宋_GB2312" w:eastAsia="仿宋_GB2312"/>
          <w:b w:val="0"/>
          <w:sz w:val="32"/>
        </w:rPr>
        <w:t>五、《一般公共预算财政拨款支出决算表》</w:t>
      </w:r>
    </w:p>
    <w:p w14:paraId="2940EFE2">
      <w:pPr>
        <w:spacing w:line="240" w:lineRule="auto"/>
        <w:ind w:firstLine="640"/>
        <w:jc w:val="both"/>
      </w:pPr>
      <w:r>
        <w:rPr>
          <w:rFonts w:ascii="仿宋_GB2312" w:hAnsi="仿宋_GB2312" w:eastAsia="仿宋_GB2312"/>
          <w:b w:val="0"/>
          <w:sz w:val="32"/>
        </w:rPr>
        <w:t>六、《一般公共预算财政拨款基本支出决算表》</w:t>
      </w:r>
    </w:p>
    <w:p w14:paraId="119D48AE">
      <w:pPr>
        <w:spacing w:line="240" w:lineRule="auto"/>
        <w:ind w:firstLine="640"/>
        <w:jc w:val="both"/>
      </w:pPr>
      <w:r>
        <w:rPr>
          <w:rFonts w:ascii="仿宋_GB2312" w:hAnsi="仿宋_GB2312" w:eastAsia="仿宋_GB2312"/>
          <w:b w:val="0"/>
          <w:sz w:val="32"/>
        </w:rPr>
        <w:t>七、《政府性基金预算财政拨款收入支出决算表》</w:t>
      </w:r>
    </w:p>
    <w:p w14:paraId="3171CFC1">
      <w:pPr>
        <w:spacing w:line="240" w:lineRule="auto"/>
        <w:ind w:firstLine="640"/>
        <w:jc w:val="both"/>
      </w:pPr>
      <w:r>
        <w:rPr>
          <w:rFonts w:ascii="仿宋_GB2312" w:hAnsi="仿宋_GB2312" w:eastAsia="仿宋_GB2312"/>
          <w:b w:val="0"/>
          <w:sz w:val="32"/>
        </w:rPr>
        <w:t>八、《国有资本经营预算财政拨款收入支出决算表》</w:t>
      </w:r>
    </w:p>
    <w:p w14:paraId="7DB51462">
      <w:pPr>
        <w:spacing w:line="240" w:lineRule="auto"/>
        <w:ind w:firstLine="640"/>
        <w:jc w:val="both"/>
      </w:pPr>
      <w:r>
        <w:rPr>
          <w:rFonts w:ascii="仿宋_GB2312" w:hAnsi="仿宋_GB2312" w:eastAsia="仿宋_GB2312"/>
          <w:b w:val="0"/>
          <w:sz w:val="32"/>
        </w:rPr>
        <w:t>九、《财政拨款“三公”经费支出决算表》</w:t>
      </w:r>
    </w:p>
    <w:p w14:paraId="7071996B">
      <w:pPr>
        <w:spacing w:line="240" w:lineRule="auto"/>
        <w:ind w:firstLine="640"/>
        <w:jc w:val="both"/>
      </w:pPr>
    </w:p>
    <w:p w14:paraId="7E5596FB">
      <w:pPr>
        <w:spacing w:line="240" w:lineRule="auto"/>
        <w:ind w:firstLine="640"/>
        <w:jc w:val="both"/>
      </w:pPr>
    </w:p>
    <w:p w14:paraId="00CD8ECB">
      <w:pPr>
        <w:spacing w:line="240" w:lineRule="auto"/>
        <w:ind w:firstLine="640"/>
        <w:jc w:val="both"/>
      </w:pPr>
    </w:p>
    <w:p w14:paraId="1EEDCD9F">
      <w:pPr>
        <w:spacing w:line="240" w:lineRule="auto"/>
        <w:ind w:firstLine="640"/>
        <w:jc w:val="both"/>
      </w:pPr>
    </w:p>
    <w:p w14:paraId="246C324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7A7C3C4-4B32-4840-BD2A-0295C14C0C6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4C15AA2-710D-40F1-957C-3F1ECDAC51B0}"/>
  </w:font>
  <w:font w:name="仿宋_GB2312">
    <w:panose1 w:val="02010609030101010101"/>
    <w:charset w:val="86"/>
    <w:family w:val="modern"/>
    <w:pitch w:val="default"/>
    <w:sig w:usb0="00000001" w:usb1="080E0000" w:usb2="00000000" w:usb3="00000000" w:csb0="00040000" w:csb1="00000000"/>
    <w:embedRegular r:id="rId3" w:fontKey="{D74186E8-02A7-4C08-8B5A-50340BB2CE20}"/>
  </w:font>
  <w:font w:name="楷体_GB2312">
    <w:panose1 w:val="02010609030101010101"/>
    <w:charset w:val="86"/>
    <w:family w:val="auto"/>
    <w:pitch w:val="default"/>
    <w:sig w:usb0="00000001" w:usb1="080E0000" w:usb2="00000000" w:usb3="00000000" w:csb0="00040000" w:csb1="00000000"/>
    <w:embedRegular r:id="rId4" w:fontKey="{BFCF33E0-5996-44C0-91C7-1DB54F46A54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2E96A30"/>
    <w:rsid w:val="38006E2C"/>
    <w:rsid w:val="3914510A"/>
    <w:rsid w:val="3B1220C9"/>
    <w:rsid w:val="3CCA08FF"/>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1614D7"/>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5140</Words>
  <Characters>5767</Characters>
  <Lines>0</Lines>
  <Paragraphs>0</Paragraphs>
  <TotalTime>4</TotalTime>
  <ScaleCrop>false</ScaleCrop>
  <LinksUpToDate>false</LinksUpToDate>
  <CharactersWithSpaces>5775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2025-09-12T12:03:34Z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eyJoZGlkIjoiODcwM2IwZTUyMTZkNzUwMjBkODQ1YzM3NzM1MTVlMjIiLCJ1c2VySWQiOiIxMDY0NzI0MTYxIn0=</vt:lpwstr>
  </property>
</Properties>
</file>