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喀什经济开发区城东金融贸易发展服务中心2024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C7C6C64">
      <w:r>
        <w:br w:type="page"/>
      </w:r>
    </w:p>
    <w:p w14:paraId="086FB6E7">
      <w:pPr>
        <w:spacing w:line="640" w:lineRule="exact"/>
        <w:jc w:val="center"/>
        <w:outlineLvl w:val="1"/>
      </w:pPr>
      <w:r>
        <w:rPr>
          <w:rFonts w:ascii="黑体" w:hAnsi="黑体" w:eastAsia="黑体"/>
          <w:sz w:val="32"/>
        </w:rPr>
        <w:t>第一部分 单位概况</w:t>
      </w:r>
    </w:p>
    <w:p w14:paraId="3B5F9ECD">
      <w:pPr>
        <w:spacing w:line="640" w:lineRule="exact"/>
        <w:ind w:firstLine="640"/>
        <w:jc w:val="both"/>
        <w:outlineLvl w:val="2"/>
      </w:pPr>
      <w:r>
        <w:rPr>
          <w:rFonts w:ascii="黑体" w:hAnsi="黑体" w:eastAsia="黑体"/>
          <w:sz w:val="32"/>
        </w:rPr>
        <w:t>一、主要职能</w:t>
      </w:r>
    </w:p>
    <w:p w14:paraId="5597A0BC">
      <w:pPr>
        <w:spacing w:line="580" w:lineRule="exact"/>
        <w:ind w:firstLine="640"/>
        <w:jc w:val="both"/>
      </w:pPr>
      <w:r>
        <w:rPr>
          <w:rFonts w:ascii="仿宋_GB2312" w:hAnsi="仿宋_GB2312" w:eastAsia="仿宋_GB2312"/>
          <w:sz w:val="32"/>
        </w:rPr>
        <w:t>协助做好</w:t>
      </w:r>
      <w:r>
        <w:rPr>
          <w:rFonts w:hint="eastAsia" w:ascii="仿宋_GB2312" w:hAnsi="仿宋_GB2312" w:eastAsia="仿宋_GB2312"/>
          <w:sz w:val="32"/>
          <w:lang w:eastAsia="zh-CN"/>
        </w:rPr>
        <w:t>区内</w:t>
      </w:r>
      <w:r>
        <w:rPr>
          <w:rFonts w:ascii="仿宋_GB2312" w:hAnsi="仿宋_GB2312" w:eastAsia="仿宋_GB2312"/>
          <w:sz w:val="32"/>
        </w:rPr>
        <w:t>招商引资工作；负责区内项目管理服务工作，积极推进项目落地；负责区内企业服务，做好各项政策宣传和相关政策补贴初核，协调解决企业发展中存在的问题和困难；负责区内公共配套设施产权及物业管理；负责区内公共绿化、公共服务设施的管护；负责区内非公党建指导工作；承办党工委、管委会交办的其他工作。</w:t>
      </w:r>
    </w:p>
    <w:p w14:paraId="0BF12607">
      <w:pPr>
        <w:spacing w:line="640" w:lineRule="exact"/>
        <w:ind w:firstLine="640"/>
        <w:jc w:val="both"/>
        <w:outlineLvl w:val="2"/>
      </w:pPr>
      <w:r>
        <w:rPr>
          <w:rFonts w:ascii="黑体" w:hAnsi="黑体" w:eastAsia="黑体"/>
          <w:sz w:val="32"/>
        </w:rPr>
        <w:t>二、机构设置及人员情况</w:t>
      </w:r>
    </w:p>
    <w:p w14:paraId="542D24D4">
      <w:pPr>
        <w:spacing w:line="580" w:lineRule="exact"/>
        <w:ind w:firstLine="640"/>
        <w:jc w:val="both"/>
      </w:pPr>
      <w:r>
        <w:rPr>
          <w:rFonts w:ascii="仿宋_GB2312" w:hAnsi="仿宋_GB2312" w:eastAsia="仿宋_GB2312"/>
          <w:sz w:val="32"/>
        </w:rPr>
        <w:t>喀什经济开发区城东金融贸易发展服务中心2024年度，实有人数10人，其中：在职人员10人，增加3人；离休人员0人，增加0人；退休人员0人,增加0人。</w:t>
      </w:r>
    </w:p>
    <w:p w14:paraId="02892037">
      <w:pPr>
        <w:spacing w:line="580" w:lineRule="exact"/>
        <w:ind w:firstLine="640"/>
        <w:jc w:val="both"/>
      </w:pPr>
      <w:r>
        <w:rPr>
          <w:rFonts w:ascii="仿宋_GB2312" w:hAnsi="仿宋_GB2312" w:eastAsia="仿宋_GB2312"/>
          <w:sz w:val="32"/>
        </w:rPr>
        <w:t>喀什经济开发区城东金融贸易发展服务中心无下属预算单位，下设4个科室，分别是：综合服务科、投资发展科、建设管理科、城市管理科。</w:t>
      </w:r>
    </w:p>
    <w:p w14:paraId="6EFA0AA5">
      <w:r>
        <w:br w:type="page"/>
      </w:r>
    </w:p>
    <w:p w14:paraId="1A735C21">
      <w:pPr>
        <w:spacing w:line="240" w:lineRule="auto"/>
        <w:jc w:val="center"/>
        <w:outlineLvl w:val="1"/>
      </w:pPr>
      <w:r>
        <w:rPr>
          <w:rFonts w:ascii="黑体" w:hAnsi="黑体" w:eastAsia="黑体"/>
          <w:sz w:val="32"/>
        </w:rPr>
        <w:t>第二部分 部门决算情况说明</w:t>
      </w:r>
    </w:p>
    <w:p w14:paraId="524E7C4E">
      <w:pPr>
        <w:spacing w:line="640" w:lineRule="exact"/>
        <w:ind w:firstLine="640"/>
        <w:jc w:val="both"/>
        <w:outlineLvl w:val="2"/>
      </w:pPr>
      <w:r>
        <w:rPr>
          <w:rFonts w:ascii="黑体" w:hAnsi="黑体" w:eastAsia="黑体"/>
          <w:sz w:val="32"/>
        </w:rPr>
        <w:t>一、收入支出决算总体情况说明</w:t>
      </w:r>
    </w:p>
    <w:p w14:paraId="45F4B39E">
      <w:pPr>
        <w:spacing w:line="580" w:lineRule="exact"/>
        <w:ind w:firstLine="640"/>
        <w:jc w:val="both"/>
      </w:pPr>
      <w:r>
        <w:rPr>
          <w:rFonts w:ascii="仿宋_GB2312" w:hAnsi="仿宋_GB2312" w:eastAsia="仿宋_GB2312"/>
          <w:b/>
          <w:sz w:val="32"/>
        </w:rPr>
        <w:t>2024年度收入总计4,595.61万元，</w:t>
      </w:r>
      <w:r>
        <w:rPr>
          <w:rFonts w:ascii="仿宋_GB2312" w:hAnsi="仿宋_GB2312" w:eastAsia="仿宋_GB2312"/>
          <w:b w:val="0"/>
          <w:sz w:val="32"/>
        </w:rPr>
        <w:t>其中：本年收入合计4,595.61万元，使用非财政拨款结余（含专用结余）0.00万元，年初结转和结余0.00万元。</w:t>
      </w:r>
    </w:p>
    <w:p w14:paraId="383FD198">
      <w:pPr>
        <w:spacing w:line="580" w:lineRule="exact"/>
        <w:ind w:firstLine="640"/>
        <w:jc w:val="both"/>
      </w:pPr>
      <w:r>
        <w:rPr>
          <w:rFonts w:ascii="仿宋_GB2312" w:hAnsi="仿宋_GB2312" w:eastAsia="仿宋_GB2312"/>
          <w:b/>
          <w:sz w:val="32"/>
        </w:rPr>
        <w:t>2024年度支出总计4,595.61万元，</w:t>
      </w:r>
      <w:r>
        <w:rPr>
          <w:rFonts w:ascii="仿宋_GB2312" w:hAnsi="仿宋_GB2312" w:eastAsia="仿宋_GB2312"/>
          <w:b w:val="0"/>
          <w:sz w:val="32"/>
        </w:rPr>
        <w:t>其中：本年支出合计4,595.61万元，结余分配0.00万元，年末结转和结余0.00万元。</w:t>
      </w:r>
    </w:p>
    <w:p w14:paraId="3990BF5B">
      <w:pPr>
        <w:spacing w:line="580" w:lineRule="exact"/>
        <w:ind w:firstLine="640"/>
        <w:jc w:val="both"/>
      </w:pPr>
      <w:r>
        <w:rPr>
          <w:rFonts w:ascii="仿宋_GB2312" w:hAnsi="仿宋_GB2312" w:eastAsia="仿宋_GB2312"/>
          <w:b w:val="0"/>
          <w:sz w:val="32"/>
        </w:rPr>
        <w:t>收入支出总体与上年相比，增加905.38万元，增长24.53%，主要原因是：本年增加城东金融贸易区口袋公园提升项目、喀什经济开发区城东金融贸易区2024年精细化提升项目、项目前期费。</w:t>
      </w:r>
    </w:p>
    <w:p w14:paraId="4BEE6C55">
      <w:pPr>
        <w:spacing w:line="640" w:lineRule="exact"/>
        <w:ind w:firstLine="640"/>
        <w:jc w:val="both"/>
        <w:outlineLvl w:val="2"/>
      </w:pPr>
      <w:r>
        <w:rPr>
          <w:rFonts w:ascii="黑体" w:hAnsi="黑体" w:eastAsia="黑体"/>
          <w:sz w:val="32"/>
        </w:rPr>
        <w:t>二、收入决算情况说明</w:t>
      </w:r>
    </w:p>
    <w:p w14:paraId="69610CE9">
      <w:pPr>
        <w:spacing w:line="580" w:lineRule="exact"/>
        <w:ind w:firstLine="640"/>
        <w:jc w:val="both"/>
      </w:pPr>
      <w:r>
        <w:rPr>
          <w:rFonts w:ascii="仿宋_GB2312" w:hAnsi="仿宋_GB2312" w:eastAsia="仿宋_GB2312"/>
          <w:b/>
          <w:sz w:val="32"/>
        </w:rPr>
        <w:t>本年收入4,595.61万元，</w:t>
      </w:r>
      <w:r>
        <w:rPr>
          <w:rFonts w:ascii="仿宋_GB2312" w:hAnsi="仿宋_GB2312" w:eastAsia="仿宋_GB2312"/>
          <w:b w:val="0"/>
          <w:sz w:val="32"/>
        </w:rPr>
        <w:t>其中：财政拨款收入4,595.61万元，占100.00%；上级补助收入0.00万元，占0.00%；事业收入0.00万元，占0.00%；经营收入0.00万元，占0.00%；附属单位上缴收入0.00万元，占0.00%；其他收入0.00万元，占0.00%。</w:t>
      </w:r>
    </w:p>
    <w:p w14:paraId="583987B5">
      <w:pPr>
        <w:spacing w:line="640" w:lineRule="exact"/>
        <w:ind w:firstLine="640"/>
        <w:jc w:val="both"/>
        <w:outlineLvl w:val="2"/>
      </w:pPr>
      <w:r>
        <w:rPr>
          <w:rFonts w:ascii="黑体" w:hAnsi="黑体" w:eastAsia="黑体"/>
          <w:sz w:val="32"/>
        </w:rPr>
        <w:t>三、支出决算情况说明</w:t>
      </w:r>
    </w:p>
    <w:p w14:paraId="36B09F84">
      <w:pPr>
        <w:spacing w:line="580" w:lineRule="exact"/>
        <w:ind w:firstLine="640"/>
        <w:jc w:val="both"/>
      </w:pPr>
      <w:r>
        <w:rPr>
          <w:rFonts w:ascii="仿宋_GB2312" w:hAnsi="仿宋_GB2312" w:eastAsia="仿宋_GB2312"/>
          <w:b/>
          <w:sz w:val="32"/>
        </w:rPr>
        <w:t>本年支出4,595.61万元，</w:t>
      </w:r>
      <w:r>
        <w:rPr>
          <w:rFonts w:ascii="仿宋_GB2312" w:hAnsi="仿宋_GB2312" w:eastAsia="仿宋_GB2312"/>
          <w:b w:val="0"/>
          <w:sz w:val="32"/>
        </w:rPr>
        <w:t>其中：基本支出309.22万元，占6.73%；项目支出4,286.39万元，占93.27%；上缴上级支出0.00万元，占0.00%；经营支出0.00万元，占0.00%；对附属单位补助支出0.00万元，占0.00%。</w:t>
      </w:r>
    </w:p>
    <w:p w14:paraId="73816DB6">
      <w:pPr>
        <w:spacing w:line="640" w:lineRule="exact"/>
        <w:ind w:firstLine="640"/>
        <w:jc w:val="both"/>
        <w:outlineLvl w:val="2"/>
      </w:pPr>
      <w:r>
        <w:rPr>
          <w:rFonts w:ascii="黑体" w:hAnsi="黑体" w:eastAsia="黑体"/>
          <w:sz w:val="32"/>
        </w:rPr>
        <w:t>四、财政拨款收入支出决算总体情况说明</w:t>
      </w:r>
    </w:p>
    <w:p w14:paraId="25A759F6">
      <w:pPr>
        <w:spacing w:line="580" w:lineRule="exact"/>
        <w:ind w:firstLine="640"/>
        <w:jc w:val="both"/>
      </w:pPr>
      <w:r>
        <w:rPr>
          <w:rFonts w:ascii="仿宋_GB2312" w:hAnsi="仿宋_GB2312" w:eastAsia="仿宋_GB2312"/>
          <w:b/>
          <w:sz w:val="32"/>
        </w:rPr>
        <w:t>2024年度财政拨款收入总计4,595.61万元，</w:t>
      </w:r>
      <w:r>
        <w:rPr>
          <w:rFonts w:ascii="仿宋_GB2312" w:hAnsi="仿宋_GB2312" w:eastAsia="仿宋_GB2312"/>
          <w:b w:val="0"/>
          <w:sz w:val="32"/>
        </w:rPr>
        <w:t>其中：年初财政拨款结转和结余0.00万元，本年财政拨款收入4,595.61万元。</w:t>
      </w:r>
      <w:r>
        <w:rPr>
          <w:rFonts w:ascii="仿宋_GB2312" w:hAnsi="仿宋_GB2312" w:eastAsia="仿宋_GB2312"/>
          <w:b/>
          <w:sz w:val="32"/>
        </w:rPr>
        <w:t>财政拨款支出总计4,595.61万元，</w:t>
      </w:r>
      <w:r>
        <w:rPr>
          <w:rFonts w:ascii="仿宋_GB2312" w:hAnsi="仿宋_GB2312" w:eastAsia="仿宋_GB2312"/>
          <w:b w:val="0"/>
          <w:sz w:val="32"/>
        </w:rPr>
        <w:t>其中：年末财政拨款结转和结余0.00万元，本年财政拨款支出4,595.61万元。</w:t>
      </w:r>
    </w:p>
    <w:p w14:paraId="295B3F4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增加905.38万元，增长24.53%，主要原因是：本年增加城东金融贸易区口袋公园提升项目、喀什经济开发区城东金融贸易区2024年精细化提升项目、项目前期费。</w:t>
      </w:r>
      <w:r>
        <w:rPr>
          <w:rFonts w:ascii="仿宋_GB2312" w:hAnsi="仿宋_GB2312" w:eastAsia="仿宋_GB2312"/>
          <w:b/>
          <w:sz w:val="32"/>
        </w:rPr>
        <w:t>与年初预算相比，</w:t>
      </w:r>
      <w:r>
        <w:rPr>
          <w:rFonts w:ascii="仿宋_GB2312" w:hAnsi="仿宋_GB2312" w:eastAsia="仿宋_GB2312"/>
          <w:b w:val="0"/>
          <w:sz w:val="32"/>
        </w:rPr>
        <w:t>年初预算数3,018.52万元，决算数4,595.61万元，预决算差异率52.25%，主要原因是：年中追加城东金融贸易区口袋公园提升项目、喀什经济开发区城东金融贸易区2024年精细化提升项目、项目前期费，导致预决算存在差异。</w:t>
      </w:r>
    </w:p>
    <w:p w14:paraId="281E3E46">
      <w:pPr>
        <w:spacing w:line="640" w:lineRule="exact"/>
        <w:ind w:firstLine="640"/>
        <w:jc w:val="both"/>
        <w:outlineLvl w:val="2"/>
      </w:pPr>
      <w:r>
        <w:rPr>
          <w:rFonts w:ascii="黑体" w:hAnsi="黑体" w:eastAsia="黑体"/>
          <w:sz w:val="32"/>
        </w:rPr>
        <w:t>五、一般公共预算财政拨款支出决算情况说明</w:t>
      </w:r>
    </w:p>
    <w:p w14:paraId="261B728F">
      <w:pPr>
        <w:spacing w:line="640" w:lineRule="exact"/>
        <w:ind w:firstLine="640"/>
        <w:jc w:val="both"/>
        <w:outlineLvl w:val="3"/>
      </w:pPr>
      <w:r>
        <w:rPr>
          <w:rFonts w:ascii="楷体_GB2312" w:hAnsi="楷体_GB2312" w:eastAsia="楷体_GB2312"/>
          <w:b/>
          <w:sz w:val="32"/>
        </w:rPr>
        <w:t>（一）一般公共预算财政拨款支出决算总体情况</w:t>
      </w:r>
    </w:p>
    <w:p w14:paraId="06D1B697">
      <w:pPr>
        <w:spacing w:line="580" w:lineRule="exact"/>
        <w:ind w:firstLine="640"/>
        <w:jc w:val="both"/>
      </w:pPr>
      <w:r>
        <w:rPr>
          <w:rFonts w:ascii="仿宋_GB2312" w:hAnsi="仿宋_GB2312" w:eastAsia="仿宋_GB2312"/>
          <w:b/>
          <w:sz w:val="32"/>
        </w:rPr>
        <w:t>2024年度一般公共预算财政拨款支出4,595.61万元，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增加905.38万元，增长24.53%，主要原因是：本年增加城东金融贸易区口袋公园提升项目、喀什经济开发区城东金融贸易区2024年精细化提升项目、项目前期费。</w:t>
      </w:r>
      <w:r>
        <w:rPr>
          <w:rFonts w:ascii="仿宋_GB2312" w:hAnsi="仿宋_GB2312" w:eastAsia="仿宋_GB2312"/>
          <w:b/>
          <w:sz w:val="32"/>
        </w:rPr>
        <w:t>与年初预算相比,</w:t>
      </w:r>
      <w:r>
        <w:rPr>
          <w:rFonts w:ascii="仿宋_GB2312" w:hAnsi="仿宋_GB2312" w:eastAsia="仿宋_GB2312"/>
          <w:b w:val="0"/>
          <w:sz w:val="32"/>
        </w:rPr>
        <w:t>年初预算数3,018.52万元，决算数4,595.61万元，预决算差异率52.25%，主要原因是：年中追加城东金融贸易区口袋公园提升项目、喀什经济开发区城东金融贸易区2024年精细化提升项目、项目前期费，导致预决算存在差异。</w:t>
      </w:r>
    </w:p>
    <w:p w14:paraId="6662DED2">
      <w:pPr>
        <w:spacing w:line="640" w:lineRule="exact"/>
        <w:ind w:firstLine="640"/>
        <w:jc w:val="both"/>
        <w:outlineLvl w:val="3"/>
      </w:pPr>
      <w:r>
        <w:rPr>
          <w:rFonts w:ascii="楷体_GB2312" w:hAnsi="楷体_GB2312" w:eastAsia="楷体_GB2312"/>
          <w:b/>
          <w:sz w:val="32"/>
        </w:rPr>
        <w:t>（二）一般公共预算财政拨款支出决算结构情况</w:t>
      </w:r>
    </w:p>
    <w:p w14:paraId="0CE5AE38">
      <w:pPr>
        <w:spacing w:line="580" w:lineRule="exact"/>
        <w:ind w:firstLine="640"/>
        <w:jc w:val="both"/>
      </w:pPr>
      <w:r>
        <w:rPr>
          <w:rFonts w:ascii="仿宋_GB2312" w:hAnsi="仿宋_GB2312" w:eastAsia="仿宋_GB2312"/>
          <w:b w:val="0"/>
          <w:sz w:val="32"/>
        </w:rPr>
        <w:t>1.一般公共服务支出(类)308.48万元,占6.71%。</w:t>
      </w:r>
    </w:p>
    <w:p w14:paraId="0FC55223">
      <w:pPr>
        <w:spacing w:line="580" w:lineRule="exact"/>
        <w:ind w:firstLine="640"/>
        <w:jc w:val="both"/>
      </w:pPr>
      <w:r>
        <w:rPr>
          <w:rFonts w:ascii="仿宋_GB2312" w:hAnsi="仿宋_GB2312" w:eastAsia="仿宋_GB2312"/>
          <w:b w:val="0"/>
          <w:sz w:val="32"/>
        </w:rPr>
        <w:t>2.公共安全支出(类)124.58万元,占2.71%。</w:t>
      </w:r>
    </w:p>
    <w:p w14:paraId="27D44162">
      <w:pPr>
        <w:spacing w:line="580" w:lineRule="exact"/>
        <w:ind w:firstLine="640"/>
        <w:jc w:val="both"/>
      </w:pPr>
      <w:r>
        <w:rPr>
          <w:rFonts w:ascii="仿宋_GB2312" w:hAnsi="仿宋_GB2312" w:eastAsia="仿宋_GB2312"/>
          <w:b w:val="0"/>
          <w:sz w:val="32"/>
        </w:rPr>
        <w:t>3.社会保障和就业支出(类)19.28万元,占0.42%。</w:t>
      </w:r>
    </w:p>
    <w:p w14:paraId="1732CD0A">
      <w:pPr>
        <w:spacing w:line="580" w:lineRule="exact"/>
        <w:ind w:firstLine="640"/>
        <w:jc w:val="both"/>
      </w:pPr>
      <w:r>
        <w:rPr>
          <w:rFonts w:ascii="仿宋_GB2312" w:hAnsi="仿宋_GB2312" w:eastAsia="仿宋_GB2312"/>
          <w:b w:val="0"/>
          <w:sz w:val="32"/>
        </w:rPr>
        <w:t>4.卫生健康支出(类)7.49万元,占0.16%。</w:t>
      </w:r>
    </w:p>
    <w:p w14:paraId="326B58DB">
      <w:pPr>
        <w:spacing w:line="580" w:lineRule="exact"/>
        <w:ind w:firstLine="640"/>
        <w:jc w:val="both"/>
      </w:pPr>
      <w:r>
        <w:rPr>
          <w:rFonts w:ascii="仿宋_GB2312" w:hAnsi="仿宋_GB2312" w:eastAsia="仿宋_GB2312"/>
          <w:b w:val="0"/>
          <w:sz w:val="32"/>
        </w:rPr>
        <w:t>5.城乡社区支出(类)4,124.68万元,占89.75%。</w:t>
      </w:r>
    </w:p>
    <w:p w14:paraId="568E92A0">
      <w:pPr>
        <w:spacing w:line="580" w:lineRule="exact"/>
        <w:ind w:firstLine="640"/>
        <w:jc w:val="both"/>
      </w:pPr>
      <w:r>
        <w:rPr>
          <w:rFonts w:ascii="仿宋_GB2312" w:hAnsi="仿宋_GB2312" w:eastAsia="仿宋_GB2312"/>
          <w:b w:val="0"/>
          <w:sz w:val="32"/>
        </w:rPr>
        <w:t>6.住房保障支出(类)11.10万元,占0.24%。</w:t>
      </w:r>
    </w:p>
    <w:p w14:paraId="7424768E">
      <w:pPr>
        <w:spacing w:line="640" w:lineRule="exact"/>
        <w:ind w:firstLine="640"/>
        <w:jc w:val="both"/>
        <w:outlineLvl w:val="3"/>
      </w:pPr>
      <w:r>
        <w:rPr>
          <w:rFonts w:ascii="楷体_GB2312" w:hAnsi="楷体_GB2312" w:eastAsia="楷体_GB2312"/>
          <w:b/>
          <w:sz w:val="32"/>
        </w:rPr>
        <w:t>（三）一般公共预算财政拨款支出决算具体情况</w:t>
      </w:r>
    </w:p>
    <w:p w14:paraId="3F9B11B1">
      <w:pPr>
        <w:spacing w:line="580" w:lineRule="exact"/>
        <w:ind w:firstLine="640"/>
        <w:jc w:val="both"/>
      </w:pPr>
      <w:r>
        <w:rPr>
          <w:rFonts w:ascii="仿宋_GB2312" w:hAnsi="仿宋_GB2312" w:eastAsia="仿宋_GB2312"/>
          <w:b w:val="0"/>
          <w:sz w:val="32"/>
        </w:rPr>
        <w:t>1.一般公共服务支出(类)政府办公厅（室）及相关机构事务(款)事业运行(项):支出决算数为271.36万元，比上年决算增加73.01万元，增长36.81%,主要原因是：</w:t>
      </w:r>
      <w:r>
        <w:rPr>
          <w:rFonts w:hint="eastAsia" w:ascii="仿宋_GB2312" w:hAnsi="仿宋_GB2312" w:eastAsia="仿宋_GB2312"/>
          <w:b w:val="0"/>
          <w:sz w:val="32"/>
          <w:lang w:val="en-US" w:eastAsia="zh-CN"/>
        </w:rPr>
        <w:t>一是</w:t>
      </w:r>
      <w:r>
        <w:rPr>
          <w:rFonts w:ascii="仿宋_GB2312" w:hAnsi="仿宋_GB2312" w:eastAsia="仿宋_GB2312"/>
          <w:b w:val="0"/>
          <w:sz w:val="32"/>
        </w:rPr>
        <w:t>本年新增在职人员，人员经费增加</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二是聘用人员养老保险缴费，住房公积金，医疗等经费上年全都单独列支，本年部分经费调整至事业运行科目，</w:t>
      </w:r>
      <w:r>
        <w:rPr>
          <w:rFonts w:ascii="仿宋_GB2312" w:hAnsi="仿宋_GB2312" w:eastAsia="仿宋_GB2312"/>
          <w:b w:val="0"/>
          <w:sz w:val="32"/>
        </w:rPr>
        <w:t>导致经费较上年有所增加。</w:t>
      </w:r>
    </w:p>
    <w:p w14:paraId="0876960F">
      <w:pPr>
        <w:spacing w:line="580" w:lineRule="exact"/>
        <w:ind w:firstLine="640"/>
        <w:jc w:val="both"/>
      </w:pPr>
      <w:r>
        <w:rPr>
          <w:rFonts w:ascii="仿宋_GB2312" w:hAnsi="仿宋_GB2312" w:eastAsia="仿宋_GB2312"/>
          <w:b w:val="0"/>
          <w:sz w:val="32"/>
        </w:rPr>
        <w:t>2.一般公共服务支出(类)政府办公厅（室）及相关机构事务(款)其他政府办公厅（室）及相关机构事务支出(项):支出决算数为19.26万元，比上年决算减少10.84万元，下降36.01%,主要原因是：本年减少2022年部门考核奖励项目。</w:t>
      </w:r>
    </w:p>
    <w:p w14:paraId="6945814C">
      <w:pPr>
        <w:spacing w:line="580" w:lineRule="exact"/>
        <w:ind w:firstLine="640"/>
        <w:jc w:val="both"/>
      </w:pPr>
      <w:r>
        <w:rPr>
          <w:rFonts w:ascii="仿宋_GB2312" w:hAnsi="仿宋_GB2312" w:eastAsia="仿宋_GB2312"/>
          <w:b w:val="0"/>
          <w:sz w:val="32"/>
        </w:rPr>
        <w:t>3.一般公共服务支出(类)商贸事务(款)招商引资(项):支出决算数为17.86万元，比上年决算增加10.62万元，增长146.69%,主要原因是：根据工作安排，增加杭州等地外出招商，以及杭州驻点招商房屋租赁费。</w:t>
      </w:r>
    </w:p>
    <w:p w14:paraId="2F5D05FE">
      <w:pPr>
        <w:spacing w:line="580" w:lineRule="exact"/>
        <w:ind w:firstLine="640"/>
        <w:jc w:val="both"/>
      </w:pPr>
      <w:r>
        <w:rPr>
          <w:rFonts w:ascii="仿宋_GB2312" w:hAnsi="仿宋_GB2312" w:eastAsia="仿宋_GB2312"/>
          <w:b w:val="0"/>
          <w:sz w:val="32"/>
        </w:rPr>
        <w:t>4.一般公共服务支出(类)组织事务(款)其他组织事务支出(项):支出决算数为0.00万元，比上年决算减少0.98万元，下降100.00%,主要原因是：本年减少两优一先表彰奖励项目。</w:t>
      </w:r>
    </w:p>
    <w:p w14:paraId="0B56D59E">
      <w:pPr>
        <w:spacing w:line="580" w:lineRule="exact"/>
        <w:ind w:firstLine="640"/>
        <w:jc w:val="both"/>
      </w:pPr>
      <w:r>
        <w:rPr>
          <w:rFonts w:ascii="仿宋_GB2312" w:hAnsi="仿宋_GB2312" w:eastAsia="仿宋_GB2312"/>
          <w:b w:val="0"/>
          <w:sz w:val="32"/>
        </w:rPr>
        <w:t>5.公共安全支出(类)公安(款)其他公安支出(项):支出决算数为124.58万元，比上年决算减少15.42万元，下降11.01%,主要原因是：本年减少新建警务站建设及人员经费项目。</w:t>
      </w:r>
    </w:p>
    <w:p w14:paraId="6AB92DD7">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6.社会保障和就业支出(类)行政事业单位养老支出(款)机关事业单位基本养老保险缴费支出(项):支出决算数为13.61万元，比上年决算减少8.98万元，下降39.75%,主要原因是：</w:t>
      </w:r>
      <w:r>
        <w:rPr>
          <w:rFonts w:hint="eastAsia" w:ascii="仿宋_GB2312" w:hAnsi="仿宋_GB2312" w:eastAsia="仿宋_GB2312"/>
          <w:b w:val="0"/>
          <w:sz w:val="32"/>
          <w:lang w:val="en-US" w:eastAsia="zh-CN"/>
        </w:rPr>
        <w:t>聘用人员养老保险缴费上年在此科目列支，本年调整至事业运行科目</w:t>
      </w:r>
      <w:r>
        <w:rPr>
          <w:rFonts w:ascii="仿宋_GB2312" w:hAnsi="仿宋_GB2312" w:eastAsia="仿宋_GB2312"/>
          <w:b w:val="0"/>
          <w:sz w:val="32"/>
        </w:rPr>
        <w:t>。</w:t>
      </w:r>
    </w:p>
    <w:p w14:paraId="1B8E46F1">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5.66万元，比上年决算增加5.66万元，增长100.00%,主要原因是：本年新增辞职人员，导致职业年金缴费支出增加。</w:t>
      </w:r>
    </w:p>
    <w:p w14:paraId="39B8C29C">
      <w:pPr>
        <w:spacing w:line="580" w:lineRule="exact"/>
        <w:ind w:firstLine="640"/>
        <w:jc w:val="both"/>
      </w:pPr>
      <w:r>
        <w:rPr>
          <w:rFonts w:ascii="仿宋_GB2312" w:hAnsi="仿宋_GB2312" w:eastAsia="仿宋_GB2312"/>
          <w:b w:val="0"/>
          <w:sz w:val="32"/>
        </w:rPr>
        <w:t>8.卫生健康支出(类)公共卫生(款)突发公共卫生事件应急处理(项):支出决算数为0.00万元，比上年决算减少0.13万元，下降100.00%,主要原因是：本年减少防控保障项目。</w:t>
      </w:r>
    </w:p>
    <w:p w14:paraId="1D2C97F8">
      <w:pPr>
        <w:spacing w:line="580" w:lineRule="exact"/>
        <w:ind w:firstLine="640"/>
        <w:jc w:val="both"/>
      </w:pPr>
      <w:r>
        <w:rPr>
          <w:rFonts w:ascii="仿宋_GB2312" w:hAnsi="仿宋_GB2312" w:eastAsia="仿宋_GB2312"/>
          <w:b w:val="0"/>
          <w:sz w:val="32"/>
        </w:rPr>
        <w:t>9.卫生健康支出(类)行政事业单位医疗(款)事业单位医疗(项):支出决算数为5.78万元，比上年决算减少3.82万元，下降39.79%,主要原因是：</w:t>
      </w:r>
      <w:r>
        <w:rPr>
          <w:rFonts w:hint="eastAsia" w:ascii="仿宋_GB2312" w:hAnsi="仿宋_GB2312" w:eastAsia="仿宋_GB2312"/>
          <w:b w:val="0"/>
          <w:sz w:val="32"/>
        </w:rPr>
        <w:t>聘用人员</w:t>
      </w:r>
      <w:r>
        <w:rPr>
          <w:rFonts w:hint="eastAsia" w:ascii="仿宋_GB2312" w:hAnsi="仿宋_GB2312" w:eastAsia="仿宋_GB2312"/>
          <w:b w:val="0"/>
          <w:sz w:val="32"/>
          <w:lang w:val="en-US" w:eastAsia="zh-CN"/>
        </w:rPr>
        <w:t>医疗</w:t>
      </w:r>
      <w:r>
        <w:rPr>
          <w:rFonts w:hint="eastAsia" w:ascii="仿宋_GB2312" w:hAnsi="仿宋_GB2312" w:eastAsia="仿宋_GB2312"/>
          <w:b w:val="0"/>
          <w:sz w:val="32"/>
        </w:rPr>
        <w:t>保险缴费上年在此科目列支，本年</w:t>
      </w:r>
      <w:r>
        <w:rPr>
          <w:rFonts w:hint="eastAsia" w:ascii="仿宋_GB2312" w:hAnsi="仿宋_GB2312" w:eastAsia="仿宋_GB2312"/>
          <w:b w:val="0"/>
          <w:sz w:val="32"/>
          <w:lang w:val="en-US" w:eastAsia="zh-CN"/>
        </w:rPr>
        <w:t>部分经费</w:t>
      </w:r>
      <w:r>
        <w:rPr>
          <w:rFonts w:hint="eastAsia" w:ascii="仿宋_GB2312" w:hAnsi="仿宋_GB2312" w:eastAsia="仿宋_GB2312"/>
          <w:b w:val="0"/>
          <w:sz w:val="32"/>
        </w:rPr>
        <w:t>调整至事业运行科目</w:t>
      </w:r>
      <w:r>
        <w:rPr>
          <w:rFonts w:ascii="仿宋_GB2312" w:hAnsi="仿宋_GB2312" w:eastAsia="仿宋_GB2312"/>
          <w:b w:val="0"/>
          <w:sz w:val="32"/>
        </w:rPr>
        <w:t>。</w:t>
      </w:r>
    </w:p>
    <w:p w14:paraId="2D2C0BF8">
      <w:pPr>
        <w:spacing w:line="580" w:lineRule="exact"/>
        <w:ind w:firstLine="640"/>
        <w:jc w:val="both"/>
      </w:pPr>
      <w:r>
        <w:rPr>
          <w:rFonts w:ascii="仿宋_GB2312" w:hAnsi="仿宋_GB2312" w:eastAsia="仿宋_GB2312"/>
          <w:b w:val="0"/>
          <w:sz w:val="32"/>
        </w:rPr>
        <w:t>10.卫生健康支出(类)行政事业单位医疗(款)公务员医疗补助(项):支出决算数为1.70万元，比上年决算增加0.32万元，增长23.19%,主要原因是：</w:t>
      </w:r>
      <w:r>
        <w:rPr>
          <w:rFonts w:hint="eastAsia" w:ascii="仿宋_GB2312" w:hAnsi="仿宋_GB2312" w:eastAsia="仿宋_GB2312"/>
          <w:b w:val="0"/>
          <w:sz w:val="32"/>
          <w:lang w:val="en-US" w:eastAsia="zh-CN"/>
        </w:rPr>
        <w:t>在职人员增加，公务员医疗补助增加</w:t>
      </w:r>
      <w:r>
        <w:rPr>
          <w:rFonts w:ascii="仿宋_GB2312" w:hAnsi="仿宋_GB2312" w:eastAsia="仿宋_GB2312"/>
          <w:b w:val="0"/>
          <w:sz w:val="32"/>
        </w:rPr>
        <w:t>。</w:t>
      </w:r>
    </w:p>
    <w:p w14:paraId="5591F287">
      <w:pPr>
        <w:spacing w:line="580" w:lineRule="exact"/>
        <w:ind w:firstLine="640"/>
        <w:jc w:val="both"/>
      </w:pPr>
      <w:r>
        <w:rPr>
          <w:rFonts w:ascii="仿宋_GB2312" w:hAnsi="仿宋_GB2312" w:eastAsia="仿宋_GB2312"/>
          <w:b w:val="0"/>
          <w:sz w:val="32"/>
        </w:rPr>
        <w:t>11.城乡社区支出(类)城乡社区管理事务(款)一般行政管理事务(项):支出决算数为0.00万元，比上年决算减少34.99万元，下降100.00%,主要原因是：本年功能科目调整，社区工作经费上年度在一般行政管理事务列支，本年在其他政府办公厅（室）及相关机构事务支出列支，导致经费较上年减少。</w:t>
      </w:r>
    </w:p>
    <w:p w14:paraId="285E6F74">
      <w:pPr>
        <w:spacing w:line="580" w:lineRule="exact"/>
        <w:ind w:firstLine="640"/>
        <w:jc w:val="both"/>
      </w:pPr>
      <w:r>
        <w:rPr>
          <w:rFonts w:ascii="仿宋_GB2312" w:hAnsi="仿宋_GB2312" w:eastAsia="仿宋_GB2312"/>
          <w:b w:val="0"/>
          <w:sz w:val="32"/>
        </w:rPr>
        <w:t>12.城乡社区支出(类)城乡社区规划与管理(款)城乡社区规划与管理(项):支出决算数为0.00万元，比上年决算减少58.00万元，下降100.00%,主要原因是：本年减少大亚郎以东新区产业规划设计项目。</w:t>
      </w:r>
    </w:p>
    <w:p w14:paraId="49C2CD62">
      <w:pPr>
        <w:spacing w:line="580" w:lineRule="exact"/>
        <w:ind w:firstLine="640"/>
        <w:jc w:val="both"/>
      </w:pPr>
      <w:r>
        <w:rPr>
          <w:rFonts w:ascii="仿宋_GB2312" w:hAnsi="仿宋_GB2312" w:eastAsia="仿宋_GB2312"/>
          <w:b w:val="0"/>
          <w:sz w:val="32"/>
        </w:rPr>
        <w:t>13.城乡社区支出(类)城乡社区公共设施(款)小城镇基础设施建设(项):支出决算数为1,976.50万元，比上年决算增加1,816.81万元，增长1,137.71%,主要原因是：本年增加城东金融贸易区口袋公园提升项目、喀什经济开发区城东金融贸易区2024年精细化提升项目、项目前期费。</w:t>
      </w:r>
    </w:p>
    <w:p w14:paraId="0669D267">
      <w:pPr>
        <w:spacing w:line="580" w:lineRule="exact"/>
        <w:ind w:firstLine="640"/>
        <w:jc w:val="both"/>
      </w:pPr>
      <w:r>
        <w:rPr>
          <w:rFonts w:ascii="仿宋_GB2312" w:hAnsi="仿宋_GB2312" w:eastAsia="仿宋_GB2312"/>
          <w:b w:val="0"/>
          <w:sz w:val="32"/>
        </w:rPr>
        <w:t>14.城乡社区支出(类)城乡社区公共设施(款)其他城乡社区公共设施支出(项):支出决算数为1,013.97万元，比上年决算减少396.82万元，下降28.13%,主要原因是：本年减少城东市政维修服务项目等经费。</w:t>
      </w:r>
    </w:p>
    <w:p w14:paraId="54AFBE24">
      <w:pPr>
        <w:spacing w:line="580" w:lineRule="exact"/>
        <w:ind w:firstLine="640"/>
        <w:jc w:val="both"/>
      </w:pPr>
      <w:r>
        <w:rPr>
          <w:rFonts w:ascii="仿宋_GB2312" w:hAnsi="仿宋_GB2312" w:eastAsia="仿宋_GB2312"/>
          <w:b w:val="0"/>
          <w:sz w:val="32"/>
        </w:rPr>
        <w:t>15.城乡社区支出(类)城乡社区环境卫生(款)城乡社区环境卫生(项):支出决算数为405.56万元，比上年决算减少996.31万元，下降71.07%,主要原因是：本年减少城东绿化环卫服务项目经费。</w:t>
      </w:r>
    </w:p>
    <w:p w14:paraId="2FDEEB41">
      <w:pPr>
        <w:spacing w:line="580" w:lineRule="exact"/>
        <w:ind w:firstLine="640"/>
        <w:jc w:val="both"/>
      </w:pPr>
      <w:r>
        <w:rPr>
          <w:rFonts w:ascii="仿宋_GB2312" w:hAnsi="仿宋_GB2312" w:eastAsia="仿宋_GB2312"/>
          <w:b w:val="0"/>
          <w:sz w:val="32"/>
        </w:rPr>
        <w:t>16.城乡社区支出(类)其他城乡社区支出(款)其他城乡社区支出(项):支出决算数为728.66万元，比上年决算增加531.00万元，增长268.64%,主要原因是：本年增加城东运行保障项目经费。</w:t>
      </w:r>
    </w:p>
    <w:p w14:paraId="3C3B493D">
      <w:pPr>
        <w:spacing w:line="580" w:lineRule="exact"/>
        <w:ind w:firstLine="640"/>
        <w:jc w:val="both"/>
      </w:pPr>
      <w:r>
        <w:rPr>
          <w:rFonts w:ascii="仿宋_GB2312" w:hAnsi="仿宋_GB2312" w:eastAsia="仿宋_GB2312"/>
          <w:b w:val="0"/>
          <w:sz w:val="32"/>
        </w:rPr>
        <w:t>17.住房保障支出(类)住房改革支出(款)住房公积金(项):支出决算数为11.10万元，比上年决算减少5.74万元，下降34.09%,主要原因是：</w:t>
      </w:r>
      <w:r>
        <w:rPr>
          <w:rFonts w:hint="eastAsia" w:ascii="仿宋_GB2312" w:hAnsi="仿宋_GB2312" w:eastAsia="仿宋_GB2312"/>
          <w:b w:val="0"/>
          <w:sz w:val="32"/>
          <w:lang w:eastAsia="zh-CN"/>
        </w:rPr>
        <w:t>聘用人员</w:t>
      </w:r>
      <w:r>
        <w:rPr>
          <w:rFonts w:hint="eastAsia" w:ascii="仿宋_GB2312" w:hAnsi="仿宋_GB2312" w:eastAsia="仿宋_GB2312"/>
          <w:b w:val="0"/>
          <w:sz w:val="32"/>
          <w:lang w:val="en-US" w:eastAsia="zh-CN"/>
        </w:rPr>
        <w:t>住房公积金</w:t>
      </w:r>
      <w:r>
        <w:rPr>
          <w:rFonts w:hint="eastAsia" w:ascii="仿宋_GB2312" w:hAnsi="仿宋_GB2312" w:eastAsia="仿宋_GB2312"/>
          <w:b w:val="0"/>
          <w:sz w:val="32"/>
          <w:lang w:eastAsia="zh-CN"/>
        </w:rPr>
        <w:t>上年在此科目列支，本年</w:t>
      </w:r>
      <w:r>
        <w:rPr>
          <w:rFonts w:hint="eastAsia" w:ascii="仿宋_GB2312" w:hAnsi="仿宋_GB2312" w:eastAsia="仿宋_GB2312"/>
          <w:b w:val="0"/>
          <w:sz w:val="32"/>
          <w:lang w:val="en-US" w:eastAsia="zh-CN"/>
        </w:rPr>
        <w:t>部分经费</w:t>
      </w:r>
      <w:bookmarkStart w:id="0" w:name="_GoBack"/>
      <w:bookmarkEnd w:id="0"/>
      <w:r>
        <w:rPr>
          <w:rFonts w:hint="eastAsia" w:ascii="仿宋_GB2312" w:hAnsi="仿宋_GB2312" w:eastAsia="仿宋_GB2312"/>
          <w:b w:val="0"/>
          <w:sz w:val="32"/>
          <w:lang w:eastAsia="zh-CN"/>
        </w:rPr>
        <w:t>调整至事业运行科目</w:t>
      </w:r>
      <w:r>
        <w:rPr>
          <w:rFonts w:ascii="仿宋_GB2312" w:hAnsi="仿宋_GB2312" w:eastAsia="仿宋_GB2312"/>
          <w:b w:val="0"/>
          <w:sz w:val="32"/>
        </w:rPr>
        <w:t>。</w:t>
      </w:r>
    </w:p>
    <w:p w14:paraId="70B17C07">
      <w:pPr>
        <w:spacing w:line="640" w:lineRule="exact"/>
        <w:ind w:firstLine="640"/>
        <w:jc w:val="both"/>
        <w:outlineLvl w:val="2"/>
      </w:pPr>
      <w:r>
        <w:rPr>
          <w:rFonts w:ascii="黑体" w:hAnsi="黑体" w:eastAsia="黑体"/>
          <w:sz w:val="32"/>
        </w:rPr>
        <w:t>六、一般公共预算财政拨款基本支出决算情况说明</w:t>
      </w:r>
    </w:p>
    <w:p w14:paraId="39322441">
      <w:pPr>
        <w:spacing w:line="580" w:lineRule="exact"/>
        <w:ind w:firstLine="640"/>
        <w:jc w:val="both"/>
      </w:pPr>
      <w:r>
        <w:rPr>
          <w:rFonts w:ascii="仿宋_GB2312" w:hAnsi="仿宋_GB2312" w:eastAsia="仿宋_GB2312"/>
          <w:b w:val="0"/>
          <w:sz w:val="32"/>
        </w:rPr>
        <w:t>2024年度一般公共预算财政拨款基本支出309.22万元，其中：</w:t>
      </w:r>
      <w:r>
        <w:rPr>
          <w:rFonts w:ascii="仿宋_GB2312" w:hAnsi="仿宋_GB2312" w:eastAsia="仿宋_GB2312"/>
          <w:b/>
          <w:sz w:val="32"/>
        </w:rPr>
        <w:t>人员经费296.71万元，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w:t>
      </w:r>
    </w:p>
    <w:p w14:paraId="77C8ABAA">
      <w:pPr>
        <w:spacing w:line="580" w:lineRule="exact"/>
        <w:ind w:firstLine="640"/>
        <w:jc w:val="both"/>
      </w:pPr>
      <w:r>
        <w:rPr>
          <w:rFonts w:ascii="仿宋_GB2312" w:hAnsi="仿宋_GB2312" w:eastAsia="仿宋_GB2312"/>
          <w:b/>
          <w:sz w:val="32"/>
        </w:rPr>
        <w:t>公用经费12.50万元，</w:t>
      </w:r>
      <w:r>
        <w:rPr>
          <w:rFonts w:ascii="仿宋_GB2312" w:hAnsi="仿宋_GB2312" w:eastAsia="仿宋_GB2312"/>
          <w:b w:val="0"/>
          <w:sz w:val="32"/>
        </w:rPr>
        <w:t>包括：办公费、印刷费、邮电费、差旅费、公务用车运行维护费。</w:t>
      </w:r>
    </w:p>
    <w:p w14:paraId="77FEF161">
      <w:pPr>
        <w:spacing w:line="640" w:lineRule="exact"/>
        <w:ind w:firstLine="640"/>
        <w:jc w:val="both"/>
        <w:outlineLvl w:val="2"/>
      </w:pPr>
      <w:r>
        <w:rPr>
          <w:rFonts w:ascii="黑体" w:hAnsi="黑体" w:eastAsia="黑体"/>
          <w:sz w:val="32"/>
        </w:rPr>
        <w:t>七、政府性基金预算财政拨款收入支出决算情况说明</w:t>
      </w:r>
    </w:p>
    <w:p w14:paraId="4B591E8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FD294D0">
      <w:pPr>
        <w:spacing w:line="640" w:lineRule="exact"/>
        <w:ind w:firstLine="640"/>
        <w:jc w:val="both"/>
        <w:outlineLvl w:val="2"/>
      </w:pPr>
      <w:r>
        <w:rPr>
          <w:rFonts w:ascii="黑体" w:hAnsi="黑体" w:eastAsia="黑体"/>
          <w:sz w:val="32"/>
        </w:rPr>
        <w:t>八、国有资本经营预算财政拨款收入支出决算情况说明</w:t>
      </w:r>
    </w:p>
    <w:p w14:paraId="7658C65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32CBBF7">
      <w:pPr>
        <w:spacing w:line="640" w:lineRule="exact"/>
        <w:ind w:firstLine="640"/>
        <w:jc w:val="both"/>
        <w:outlineLvl w:val="2"/>
      </w:pPr>
      <w:r>
        <w:rPr>
          <w:rFonts w:ascii="黑体" w:hAnsi="黑体" w:eastAsia="黑体"/>
          <w:sz w:val="32"/>
        </w:rPr>
        <w:t>九、财政拨款“三公”经费支出决算情况说明</w:t>
      </w:r>
    </w:p>
    <w:p w14:paraId="2739EC5C">
      <w:pPr>
        <w:spacing w:line="580" w:lineRule="exact"/>
        <w:ind w:firstLine="640"/>
        <w:jc w:val="both"/>
      </w:pPr>
      <w:r>
        <w:rPr>
          <w:rFonts w:ascii="仿宋_GB2312" w:hAnsi="仿宋_GB2312" w:eastAsia="仿宋_GB2312"/>
          <w:b/>
          <w:sz w:val="32"/>
        </w:rPr>
        <w:t>2024年度财政拨款“三公”经费支出2.10万元，</w:t>
      </w:r>
      <w:r>
        <w:rPr>
          <w:rFonts w:ascii="仿宋_GB2312" w:hAnsi="仿宋_GB2312" w:eastAsia="仿宋_GB2312"/>
          <w:b w:val="0"/>
          <w:sz w:val="32"/>
        </w:rPr>
        <w:t>比上年增加2.10万元，增长100.00%，主要原因是：</w:t>
      </w:r>
      <w:r>
        <w:rPr>
          <w:rFonts w:hint="eastAsia" w:ascii="仿宋_GB2312" w:hAnsi="仿宋_GB2312" w:eastAsia="仿宋_GB2312"/>
          <w:b w:val="0"/>
          <w:sz w:val="32"/>
          <w:lang w:val="en-US" w:eastAsia="zh-CN"/>
        </w:rPr>
        <w:t>本年将车辆纳入公务用车管理，增加车辆运行经费</w:t>
      </w:r>
      <w:r>
        <w:rPr>
          <w:rFonts w:ascii="仿宋_GB2312" w:hAnsi="仿宋_GB2312" w:eastAsia="仿宋_GB2312"/>
          <w:b w:val="0"/>
          <w:sz w:val="32"/>
        </w:rPr>
        <w:t>。其中：因公出国（境）费支出0.00万元，占0.00%，比上年增加0.00万元，增长0.00%，主要原因是：2023年与2024年均未安排因公出国（境）费支出。公务用车购置及运行维护费支出2.10万元，占100.00%，比上年增加2.10万元，增长100.00%，主要原因是：</w:t>
      </w:r>
      <w:r>
        <w:rPr>
          <w:rFonts w:hint="eastAsia" w:ascii="仿宋_GB2312" w:hAnsi="仿宋_GB2312" w:eastAsia="仿宋_GB2312"/>
          <w:b w:val="0"/>
          <w:sz w:val="32"/>
          <w:lang w:val="en-US" w:eastAsia="zh-CN"/>
        </w:rPr>
        <w:t>本年将车辆纳入公务用车管理，增加车辆运行经费</w:t>
      </w:r>
      <w:r>
        <w:rPr>
          <w:rFonts w:ascii="仿宋_GB2312" w:hAnsi="仿宋_GB2312" w:eastAsia="仿宋_GB2312"/>
          <w:b w:val="0"/>
          <w:sz w:val="32"/>
        </w:rPr>
        <w:t>。公务接待费支出0.00万元，占0.00%，比上年增加0.00万元，增长0.00%，主要原因是：2023年与2024年均未安排公务接待费支出。</w:t>
      </w:r>
    </w:p>
    <w:p w14:paraId="64C9C514">
      <w:pPr>
        <w:spacing w:line="580" w:lineRule="exact"/>
        <w:ind w:firstLine="640"/>
        <w:jc w:val="both"/>
      </w:pPr>
      <w:r>
        <w:rPr>
          <w:rFonts w:ascii="仿宋_GB2312" w:hAnsi="仿宋_GB2312" w:eastAsia="仿宋_GB2312"/>
          <w:b/>
          <w:sz w:val="32"/>
        </w:rPr>
        <w:t>具体情况如下：</w:t>
      </w:r>
    </w:p>
    <w:p w14:paraId="5C68B8F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87F53D1">
      <w:pPr>
        <w:spacing w:line="580" w:lineRule="exact"/>
        <w:ind w:firstLine="640"/>
        <w:jc w:val="both"/>
      </w:pPr>
      <w:r>
        <w:rPr>
          <w:rFonts w:ascii="仿宋_GB2312" w:hAnsi="仿宋_GB2312" w:eastAsia="仿宋_GB2312"/>
          <w:b w:val="0"/>
          <w:sz w:val="32"/>
        </w:rPr>
        <w:t>公务用车购置及运行维护费2.10万元，其中：公务用车购置费0.00万元，公务用车运行维护费2.10万元。公务用车运行维护费开支内容包括车辆加油费、维修费、保险费、审车费、过路费等。公务用车购置数0辆，公务用车保有量1辆。国有资产占用情况中固定资产车辆0辆，与公务用车保有量差异原因是：借用其他单位车辆，车辆费用由本单位支付。</w:t>
      </w:r>
    </w:p>
    <w:p w14:paraId="3335A1E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2EAD0C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2.10万元，决算数2.10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2.10万元，决算数2.10万元，预决算差异率0.00%，主要原因是：严格按照预算执行，预决算无差异。公务接待费全年预算数0.00万元，决算数0.00万元，预决算差异率0.00%，主要原因是：本单位无公务接待费。</w:t>
      </w:r>
    </w:p>
    <w:p w14:paraId="525BE9E6">
      <w:pPr>
        <w:spacing w:line="640" w:lineRule="exact"/>
        <w:ind w:firstLine="640"/>
        <w:jc w:val="both"/>
        <w:outlineLvl w:val="2"/>
      </w:pPr>
      <w:r>
        <w:rPr>
          <w:rFonts w:ascii="黑体" w:hAnsi="黑体" w:eastAsia="黑体"/>
          <w:sz w:val="32"/>
        </w:rPr>
        <w:t>十、其他重要事项的情况说明</w:t>
      </w:r>
    </w:p>
    <w:p w14:paraId="2D6CAA88">
      <w:pPr>
        <w:spacing w:line="640" w:lineRule="exact"/>
        <w:ind w:firstLine="640"/>
        <w:jc w:val="both"/>
        <w:outlineLvl w:val="3"/>
      </w:pPr>
      <w:r>
        <w:rPr>
          <w:rFonts w:ascii="楷体_GB2312" w:hAnsi="楷体_GB2312" w:eastAsia="楷体_GB2312"/>
          <w:b/>
          <w:sz w:val="32"/>
        </w:rPr>
        <w:t>（一）机关运行经费及公用经费支出情况</w:t>
      </w:r>
    </w:p>
    <w:p w14:paraId="76C1AF63">
      <w:pPr>
        <w:spacing w:line="580" w:lineRule="exact"/>
        <w:ind w:firstLine="640"/>
        <w:jc w:val="both"/>
      </w:pPr>
      <w:r>
        <w:rPr>
          <w:rFonts w:ascii="仿宋_GB2312" w:hAnsi="仿宋_GB2312" w:eastAsia="仿宋_GB2312"/>
          <w:b w:val="0"/>
          <w:sz w:val="32"/>
        </w:rPr>
        <w:t>2024年度喀什经济开发区城东金融贸易发展服务中心（事业单位）公用经费支出12.50万元，比上年增加3.44万元，增长37.97%，主要原因是：本年增加公务用车运行维护费、差旅费，导致公用经费增加。</w:t>
      </w:r>
    </w:p>
    <w:p w14:paraId="6C3EA9AA">
      <w:pPr>
        <w:spacing w:line="640" w:lineRule="exact"/>
        <w:ind w:firstLine="640"/>
        <w:jc w:val="both"/>
        <w:outlineLvl w:val="3"/>
      </w:pPr>
      <w:r>
        <w:rPr>
          <w:rFonts w:ascii="楷体_GB2312" w:hAnsi="楷体_GB2312" w:eastAsia="楷体_GB2312"/>
          <w:b/>
          <w:sz w:val="32"/>
        </w:rPr>
        <w:t>（二）政府采购情况</w:t>
      </w:r>
    </w:p>
    <w:p w14:paraId="38BD286F">
      <w:pPr>
        <w:spacing w:line="580" w:lineRule="exact"/>
        <w:ind w:firstLine="640"/>
        <w:jc w:val="both"/>
      </w:pPr>
      <w:r>
        <w:rPr>
          <w:rFonts w:ascii="仿宋_GB2312" w:hAnsi="仿宋_GB2312" w:eastAsia="仿宋_GB2312"/>
          <w:b w:val="0"/>
          <w:sz w:val="32"/>
        </w:rPr>
        <w:t>2024年度政府采购支出总额1,078.93万元，其中：政府采购货物支出348.74万元、政府采购工程支出0.00万元、政府采购服务支出730.19万元。</w:t>
      </w:r>
    </w:p>
    <w:p w14:paraId="24E88C0D">
      <w:pPr>
        <w:spacing w:line="580" w:lineRule="exact"/>
        <w:ind w:firstLine="640"/>
        <w:jc w:val="both"/>
      </w:pPr>
      <w:r>
        <w:rPr>
          <w:rFonts w:ascii="仿宋_GB2312" w:hAnsi="仿宋_GB2312" w:eastAsia="仿宋_GB2312"/>
          <w:b w:val="0"/>
          <w:sz w:val="32"/>
        </w:rPr>
        <w:t>授予中小企业合同金额1,078.93万元，占政府采购支出总额的100.00%，其中：授予小微企业合同金额1,063.94万元，占政府采购支出总额的98.61%。</w:t>
      </w:r>
    </w:p>
    <w:p w14:paraId="350D3DB2">
      <w:pPr>
        <w:spacing w:line="640" w:lineRule="exact"/>
        <w:ind w:firstLine="640"/>
        <w:jc w:val="both"/>
        <w:outlineLvl w:val="3"/>
      </w:pPr>
      <w:r>
        <w:rPr>
          <w:rFonts w:ascii="楷体_GB2312" w:hAnsi="楷体_GB2312" w:eastAsia="楷体_GB2312"/>
          <w:b/>
          <w:sz w:val="32"/>
        </w:rPr>
        <w:t>（三）国有资产占用情况说明</w:t>
      </w:r>
    </w:p>
    <w:p w14:paraId="5A09DC15">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7AAB03B7">
      <w:pPr>
        <w:spacing w:line="640" w:lineRule="exact"/>
        <w:ind w:firstLine="640"/>
        <w:jc w:val="both"/>
        <w:outlineLvl w:val="2"/>
      </w:pPr>
      <w:r>
        <w:rPr>
          <w:rFonts w:ascii="黑体" w:hAnsi="黑体" w:eastAsia="黑体"/>
          <w:sz w:val="32"/>
        </w:rPr>
        <w:t>十一、预算绩效的情况说明</w:t>
      </w:r>
    </w:p>
    <w:p w14:paraId="19115B0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4,940.54万元，实际执行总额4,668.74万元；预算绩效评价项目11个，全年预算数8,575.34万元，全年执行数8,362.25万元。预算绩效管理取得的成效：一是提升了财政资金使用效率：通过实施预算绩效管理，能够更好地跟踪和评估资金使用情况，及时发现问题并采取措施加以改进，从而提高了</w:t>
      </w:r>
      <w:r>
        <w:rPr>
          <w:rFonts w:hint="eastAsia" w:ascii="仿宋_GB2312" w:hAnsi="仿宋_GB2312" w:eastAsia="仿宋_GB2312"/>
          <w:b w:val="0"/>
          <w:sz w:val="32"/>
          <w:lang w:eastAsia="zh-CN"/>
        </w:rPr>
        <w:t>财政资金使用</w:t>
      </w:r>
      <w:r>
        <w:rPr>
          <w:rFonts w:ascii="仿宋_GB2312" w:hAnsi="仿宋_GB2312" w:eastAsia="仿宋_GB2312"/>
          <w:b w:val="0"/>
          <w:sz w:val="32"/>
        </w:rPr>
        <w:t>效率。二是实现了对财政资金的全程管理和控制：实施预算绩效管理，涵盖了预算编制、执行、监督和评价等各个环节，实现了对财政资金的全程管理和控制。三是强化了预算绩效目标管理：财政部门要求预算单位在申请项目资金时就提出项目资金使用应达到的绩效目标，并在年终或项目结束后进行绩效自评，确保了绩效目标的实现。发现的问题及原因：在2024年预算绩效管理工作中，存在“重投入轻管理、重支出轻绩效”的情况，对全面实施预算绩效管理的要求认识还不到位，项目申报、实施等环节与预算绩效管理各个环节联系不够紧密；同时预算绩效管理也是一项新工作，面对专业人手不足、绩效管理水平欠缺的情况下，提升的空间还是很大。下一步改进措施：一是强化支出预算约束。进一步提高年初预算编制的科学性和准确性，完善预算执行动态 约束机制，加强财政预算资金管理，统筹协调推进项目执行，提高财政资金效益和效果。加强学习，进一步明确如何参照考核体系，科学合理设定绩效目标，充分发挥预算绩效管理工作效用。二是进一步提高绩效管理水平。由于目前的预算管理在编制和实施中还存在编制不细、预算调整较多、追加预算比重较大等现象，因此项目预算执行的准确性还有待加强，同时分析手段和技术水平上还有待完善。在今后的工作中，我们将加强与财政部门的紧密配合，开展好整体支出及项目资金绩效管理工作，运用好绩效评价的结果，不断提升预算管理水平。加强预算绩效目标管理工作。明确预算项目绩效目标编制要求，分类别建立科学合理、细化量化、可比可测预算绩效指标体系，突出结果导向，重点考核实绩。加强绩效业务学习及培训，增强业务人员绩效管理意识，进一步加强预算绩效管理工作，优化项目支出绩效指标体系，完善预算绩效管理制度，有效推动</w:t>
      </w:r>
      <w:r>
        <w:rPr>
          <w:rFonts w:hint="eastAsia" w:ascii="仿宋_GB2312" w:hAnsi="仿宋_GB2312" w:eastAsia="仿宋_GB2312"/>
          <w:b w:val="0"/>
          <w:sz w:val="32"/>
          <w:lang w:eastAsia="zh-CN"/>
        </w:rPr>
        <w:t>本单位</w:t>
      </w:r>
      <w:r>
        <w:rPr>
          <w:rFonts w:ascii="仿宋_GB2312" w:hAnsi="仿宋_GB2312" w:eastAsia="仿宋_GB2312"/>
          <w:b w:val="0"/>
          <w:sz w:val="32"/>
        </w:rPr>
        <w:t>下一年度预算绩效管理工作常态化、规范化。通过强化专业培训、学习考察、业务交流等措施，帮助和促进本单位现有人员提高绩效管理业务水平、实际工作能力。强化预算绩效执行工作，指定专人负责预算执行监督管理，进一步推动预算绩效管理工作。借助第三方专业机构力量，贯彻落实全面预算绩效管理工作，建立全过程预算绩效管理链条，将绩效各个环节紧密贯通。具体附整体支出绩效自评表，项目支出绩效自评表和评价报告。</w:t>
      </w:r>
    </w:p>
    <w:p w14:paraId="6B3BF86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17F8AAD">
        <w:tblPrEx>
          <w:tblCellMar>
            <w:top w:w="0" w:type="dxa"/>
            <w:left w:w="108" w:type="dxa"/>
            <w:bottom w:w="0" w:type="dxa"/>
            <w:right w:w="108" w:type="dxa"/>
          </w:tblCellMar>
        </w:tblPrEx>
        <w:tc>
          <w:tcPr>
            <w:tcW w:w="8847" w:type="dxa"/>
            <w:gridSpan w:val="9"/>
            <w:vAlign w:val="center"/>
          </w:tcPr>
          <w:p w14:paraId="4E78C4B7">
            <w:pPr>
              <w:jc w:val="center"/>
            </w:pPr>
            <w:r>
              <w:rPr>
                <w:rFonts w:ascii="宋体" w:hAnsi="宋体" w:eastAsia="宋体"/>
                <w:sz w:val="24"/>
              </w:rPr>
              <w:t>单位整体支出绩效自评表</w:t>
            </w:r>
          </w:p>
        </w:tc>
      </w:tr>
      <w:tr w14:paraId="546EF016">
        <w:tblPrEx>
          <w:tblCellMar>
            <w:top w:w="0" w:type="dxa"/>
            <w:left w:w="108" w:type="dxa"/>
            <w:bottom w:w="0" w:type="dxa"/>
            <w:right w:w="108" w:type="dxa"/>
          </w:tblCellMar>
        </w:tblPrEx>
        <w:tc>
          <w:tcPr>
            <w:tcW w:w="8847" w:type="dxa"/>
            <w:gridSpan w:val="9"/>
            <w:vAlign w:val="center"/>
          </w:tcPr>
          <w:p w14:paraId="12195C2F">
            <w:pPr>
              <w:jc w:val="center"/>
            </w:pPr>
            <w:r>
              <w:rPr>
                <w:rFonts w:ascii="宋体" w:hAnsi="宋体" w:eastAsia="宋体"/>
                <w:sz w:val="24"/>
              </w:rPr>
              <w:t>（2024年度）</w:t>
            </w:r>
          </w:p>
        </w:tc>
      </w:tr>
      <w:tr w14:paraId="0083873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5AA64">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18EFA2D">
            <w:pPr>
              <w:jc w:val="center"/>
            </w:pPr>
            <w:r>
              <w:rPr>
                <w:rFonts w:ascii="宋体" w:hAnsi="宋体" w:eastAsia="宋体"/>
                <w:sz w:val="16"/>
              </w:rPr>
              <w:t>喀什经济开发区城东金融贸易发展服务中心</w:t>
            </w:r>
          </w:p>
        </w:tc>
      </w:tr>
      <w:tr w14:paraId="46A425B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ABBBC2">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82388">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B93B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06EAF">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96A16">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9219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04322">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1605D">
            <w:pPr>
              <w:jc w:val="center"/>
            </w:pPr>
            <w:r>
              <w:rPr>
                <w:rFonts w:ascii="宋体" w:hAnsi="宋体" w:eastAsia="宋体"/>
                <w:sz w:val="16"/>
              </w:rPr>
              <w:t>得分</w:t>
            </w:r>
          </w:p>
        </w:tc>
      </w:tr>
      <w:tr w14:paraId="3F56DC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8901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6DF43">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345CC">
            <w:pPr>
              <w:jc w:val="center"/>
            </w:pPr>
            <w:r>
              <w:rPr>
                <w:rFonts w:ascii="宋体" w:hAnsi="宋体" w:eastAsia="宋体"/>
                <w:sz w:val="16"/>
              </w:rPr>
              <w:t>2,710.81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03F82">
            <w:pPr>
              <w:jc w:val="center"/>
            </w:pPr>
            <w:r>
              <w:rPr>
                <w:rFonts w:ascii="宋体" w:hAnsi="宋体" w:eastAsia="宋体"/>
                <w:sz w:val="16"/>
              </w:rPr>
              <w:t>4,940.54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D2706">
            <w:pPr>
              <w:jc w:val="center"/>
            </w:pPr>
            <w:r>
              <w:rPr>
                <w:rFonts w:ascii="宋体" w:hAnsi="宋体" w:eastAsia="宋体"/>
                <w:sz w:val="16"/>
              </w:rPr>
              <w:t>4,668.74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9C55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85D9C">
            <w:pPr>
              <w:jc w:val="center"/>
            </w:pPr>
            <w:r>
              <w:rPr>
                <w:rFonts w:ascii="宋体" w:hAnsi="宋体" w:eastAsia="宋体"/>
                <w:sz w:val="16"/>
              </w:rPr>
              <w:t>94.50%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D5F71">
            <w:pPr>
              <w:jc w:val="center"/>
            </w:pPr>
            <w:r>
              <w:rPr>
                <w:rFonts w:ascii="宋体" w:hAnsi="宋体" w:eastAsia="宋体"/>
                <w:sz w:val="16"/>
              </w:rPr>
              <w:t>9.45</w:t>
            </w:r>
          </w:p>
        </w:tc>
      </w:tr>
      <w:tr w14:paraId="6E6420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5A8B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5E1FC">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D5F1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4469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CC56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FD54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D653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CF5FB">
            <w:pPr>
              <w:jc w:val="center"/>
            </w:pPr>
            <w:r>
              <w:rPr>
                <w:rFonts w:ascii="宋体" w:hAnsi="宋体" w:eastAsia="宋体"/>
                <w:sz w:val="16"/>
              </w:rPr>
              <w:t>—</w:t>
            </w:r>
          </w:p>
        </w:tc>
      </w:tr>
      <w:tr w14:paraId="691E4F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17BA6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ADA4E">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9A98D">
            <w:pPr>
              <w:jc w:val="center"/>
            </w:pPr>
            <w:r>
              <w:rPr>
                <w:rFonts w:ascii="宋体" w:hAnsi="宋体" w:eastAsia="宋体"/>
                <w:sz w:val="16"/>
              </w:rPr>
              <w:t>2,710.81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CDC71">
            <w:pPr>
              <w:jc w:val="center"/>
            </w:pPr>
            <w:r>
              <w:rPr>
                <w:rFonts w:ascii="宋体" w:hAnsi="宋体" w:eastAsia="宋体"/>
                <w:sz w:val="16"/>
              </w:rPr>
              <w:t>4,940.54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D17B8">
            <w:pPr>
              <w:jc w:val="center"/>
            </w:pPr>
            <w:r>
              <w:rPr>
                <w:rFonts w:ascii="宋体" w:hAnsi="宋体" w:eastAsia="宋体"/>
                <w:sz w:val="16"/>
              </w:rPr>
              <w:t>4,668.74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AAA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C1FD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AB77D">
            <w:pPr>
              <w:jc w:val="center"/>
            </w:pPr>
            <w:r>
              <w:rPr>
                <w:rFonts w:ascii="宋体" w:hAnsi="宋体" w:eastAsia="宋体"/>
                <w:sz w:val="16"/>
              </w:rPr>
              <w:t>—</w:t>
            </w:r>
          </w:p>
        </w:tc>
      </w:tr>
      <w:tr w14:paraId="4A05E8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ADF7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F44CF">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AADD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1C31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53D9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03B9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6F68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87A96">
            <w:pPr>
              <w:jc w:val="center"/>
            </w:pPr>
            <w:r>
              <w:rPr>
                <w:rFonts w:ascii="宋体" w:hAnsi="宋体" w:eastAsia="宋体"/>
                <w:sz w:val="16"/>
              </w:rPr>
              <w:t>—</w:t>
            </w:r>
          </w:p>
        </w:tc>
      </w:tr>
      <w:tr w14:paraId="57ACF19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7495D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877F3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C7377E">
            <w:pPr>
              <w:jc w:val="center"/>
            </w:pPr>
            <w:r>
              <w:rPr>
                <w:rFonts w:ascii="宋体" w:hAnsi="宋体" w:eastAsia="宋体"/>
                <w:sz w:val="16"/>
              </w:rPr>
              <w:t>实际完成情况</w:t>
            </w:r>
          </w:p>
        </w:tc>
      </w:tr>
      <w:tr w14:paraId="200F9C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08311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F251BE">
            <w:pPr>
              <w:jc w:val="both"/>
            </w:pPr>
            <w:r>
              <w:rPr>
                <w:rFonts w:hint="eastAsia" w:ascii="宋体" w:hAnsi="宋体"/>
                <w:sz w:val="16"/>
                <w:lang w:eastAsia="zh-CN"/>
              </w:rPr>
              <w:t>本单位</w:t>
            </w:r>
            <w:r>
              <w:rPr>
                <w:rFonts w:ascii="宋体" w:hAnsi="宋体" w:eastAsia="宋体"/>
                <w:sz w:val="16"/>
              </w:rPr>
              <w:t>负责协助做好区内招商引资工作；负责区内项目管理服务工作，积极推进项目落地；负责区内企业服务，做好各项政策宣传和相关政策补贴初核，协调解决企业发展中存在的问题和困难；负责区内公共配套设施产权及物业管理；负责区内公共绿化、公共服务设施的管护；负责区内非公党建指导工作；承办党工委、管委会交办的其他工作。将总体目标分解为产出和效益，计划一年政治学习4次，一年接待100批次客商，制定5个以上招商计划围绕重点领域，线上服务专号收集企业问题当年目标解决诉求150条以上，每月开展风险隐患的梳理4次，社保补贴企业48家，申请人才补贴企业100家，2024年城东中心将继续认真落实党工委、管委会要求，以</w:t>
            </w:r>
            <w:r>
              <w:rPr>
                <w:rFonts w:hint="eastAsia" w:ascii="宋体" w:hAnsi="宋体"/>
                <w:sz w:val="16"/>
                <w:lang w:eastAsia="zh-CN"/>
              </w:rPr>
              <w:t>“</w:t>
            </w:r>
            <w:r>
              <w:rPr>
                <w:rFonts w:ascii="宋体" w:hAnsi="宋体" w:eastAsia="宋体"/>
                <w:sz w:val="16"/>
              </w:rPr>
              <w:t>时不我待，正当其时”的奋进姿态，抓紧落实，快上快干，全力以赴跑出高质量发展的加速度，激活经济快步提升的新动能，为喀什经济开发区经济腾飞贡献力量。</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D8725B">
            <w:pPr>
              <w:jc w:val="both"/>
            </w:pPr>
            <w:r>
              <w:rPr>
                <w:rFonts w:ascii="宋体" w:hAnsi="宋体" w:eastAsia="宋体"/>
                <w:sz w:val="16"/>
              </w:rPr>
              <w:t>2024年1 - 12月，城东片区经济发展成果丰硕，多项指标超额完成年度目标。规上工业总产值达11.25亿元，同比增长0.4%，完成全年任务的73.53%；规上工业增加值实现4.96亿元，同比增长5.35%，达成全年任务的88.57%；全社会固定资产投资完成15.64亿元，超额完成全年任务的112.52%；招商引资到位资金33.17亿元，完成年度目标的132.68%。</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在企业服务与发展保障上，城东片区积极作为，为48家企业落实社保补贴，助力100家企业申请人才补贴；开展48次政治学习强化思想引领，144次热情接待客商拓展合作机遇；围绕5大重点领域精准制定招商计划，通过线上服务专号高效收集并处理201条企业问题诉求；坚持每月4次风险隐患梳理，筑牢安全发展底线。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2024年，城东中心将紧扣党工委、管委会部署，以“时不我待”的紧迫感和使命感，争分夺秒抓落实、快马加鞭促发展，全力激发经济增长新动能，为喀什经济开发区高质量发展注入强劲动力。</w:t>
            </w:r>
          </w:p>
        </w:tc>
      </w:tr>
      <w:tr w14:paraId="5A0AB96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8931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C56E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B606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3B9E7">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6F9E4">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F818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4592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13202">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85BCE">
            <w:pPr>
              <w:jc w:val="center"/>
            </w:pPr>
            <w:r>
              <w:rPr>
                <w:rFonts w:ascii="宋体" w:hAnsi="宋体" w:eastAsia="宋体"/>
                <w:sz w:val="16"/>
              </w:rPr>
              <w:t>得分</w:t>
            </w:r>
          </w:p>
        </w:tc>
      </w:tr>
      <w:tr w14:paraId="6445936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D6FDDC">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83919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5256E">
            <w:pPr>
              <w:jc w:val="center"/>
            </w:pPr>
            <w:r>
              <w:rPr>
                <w:rFonts w:ascii="宋体" w:hAnsi="宋体" w:eastAsia="宋体"/>
                <w:sz w:val="16"/>
              </w:rPr>
              <w:t>一年政治学习（次）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090DE">
            <w:pPr>
              <w:jc w:val="center"/>
            </w:pPr>
            <w:r>
              <w:rPr>
                <w:rFonts w:ascii="宋体" w:hAnsi="宋体" w:eastAsia="宋体"/>
                <w:sz w:val="16"/>
              </w:rPr>
              <w:t>&gt;=48次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AA53C">
            <w:pPr>
              <w:jc w:val="center"/>
            </w:pPr>
            <w:r>
              <w:rPr>
                <w:rFonts w:ascii="宋体" w:hAnsi="宋体" w:eastAsia="宋体"/>
                <w:sz w:val="16"/>
              </w:rPr>
              <w:t>城东金融贸易发展服务中心2024年工作计划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B682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CAB7D">
            <w:pPr>
              <w:jc w:val="center"/>
            </w:pPr>
            <w:r>
              <w:rPr>
                <w:rFonts w:ascii="宋体" w:hAnsi="宋体" w:eastAsia="宋体"/>
                <w:sz w:val="16"/>
              </w:rPr>
              <w:t>48次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787B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DEBF1">
            <w:pPr>
              <w:jc w:val="center"/>
            </w:pPr>
            <w:r>
              <w:rPr>
                <w:rFonts w:ascii="宋体" w:hAnsi="宋体" w:eastAsia="宋体"/>
                <w:sz w:val="16"/>
              </w:rPr>
              <w:t>20</w:t>
            </w:r>
          </w:p>
        </w:tc>
      </w:tr>
      <w:tr w14:paraId="1FB22E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5DF0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E9692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D449E">
            <w:pPr>
              <w:jc w:val="center"/>
            </w:pPr>
            <w:r>
              <w:rPr>
                <w:rFonts w:ascii="宋体" w:hAnsi="宋体" w:eastAsia="宋体"/>
                <w:sz w:val="16"/>
              </w:rPr>
              <w:t>一年接待客商（次）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A08BD">
            <w:pPr>
              <w:jc w:val="center"/>
            </w:pPr>
            <w:r>
              <w:rPr>
                <w:rFonts w:ascii="宋体" w:hAnsi="宋体" w:eastAsia="宋体"/>
                <w:sz w:val="16"/>
              </w:rPr>
              <w:t>&gt;=100次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19F44">
            <w:pPr>
              <w:jc w:val="center"/>
            </w:pPr>
            <w:r>
              <w:rPr>
                <w:rFonts w:ascii="宋体" w:hAnsi="宋体" w:eastAsia="宋体"/>
                <w:sz w:val="16"/>
              </w:rPr>
              <w:t>城东金融贸易发展服务中心2024年工作计划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2224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918F4">
            <w:pPr>
              <w:jc w:val="center"/>
            </w:pPr>
            <w:r>
              <w:rPr>
                <w:rFonts w:ascii="宋体" w:hAnsi="宋体" w:eastAsia="宋体"/>
                <w:sz w:val="16"/>
              </w:rPr>
              <w:t>144次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E8347">
            <w:pPr>
              <w:jc w:val="center"/>
            </w:pPr>
            <w:r>
              <w:rPr>
                <w:rFonts w:ascii="宋体" w:hAnsi="宋体" w:eastAsia="宋体"/>
                <w:sz w:val="16"/>
              </w:rPr>
              <w:t>144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746DD">
            <w:pPr>
              <w:jc w:val="center"/>
            </w:pPr>
            <w:r>
              <w:rPr>
                <w:rFonts w:ascii="宋体" w:hAnsi="宋体" w:eastAsia="宋体"/>
                <w:sz w:val="16"/>
              </w:rPr>
              <w:t>20</w:t>
            </w:r>
          </w:p>
        </w:tc>
      </w:tr>
      <w:tr w14:paraId="6A416C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6C88C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5E57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B76BC">
            <w:pPr>
              <w:jc w:val="center"/>
            </w:pPr>
            <w:r>
              <w:rPr>
                <w:rFonts w:ascii="宋体" w:hAnsi="宋体" w:eastAsia="宋体"/>
                <w:sz w:val="16"/>
              </w:rPr>
              <w:t>制定招商计划围绕重点领域（个）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10715">
            <w:pPr>
              <w:jc w:val="center"/>
            </w:pPr>
            <w:r>
              <w:rPr>
                <w:rFonts w:ascii="宋体" w:hAnsi="宋体" w:eastAsia="宋体"/>
                <w:sz w:val="16"/>
              </w:rPr>
              <w:t>&gt;=5个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61099">
            <w:pPr>
              <w:jc w:val="center"/>
            </w:pPr>
            <w:r>
              <w:rPr>
                <w:rFonts w:ascii="宋体" w:hAnsi="宋体" w:eastAsia="宋体"/>
                <w:sz w:val="16"/>
              </w:rPr>
              <w:t>城东金融贸易发展服务中心2024年工作计划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A6D5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A627C">
            <w:pPr>
              <w:jc w:val="center"/>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5BDE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4BF0A">
            <w:pPr>
              <w:jc w:val="center"/>
            </w:pPr>
            <w:r>
              <w:rPr>
                <w:rFonts w:ascii="宋体" w:hAnsi="宋体" w:eastAsia="宋体"/>
                <w:sz w:val="16"/>
              </w:rPr>
              <w:t>20</w:t>
            </w:r>
          </w:p>
        </w:tc>
      </w:tr>
      <w:tr w14:paraId="44CC52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1EF9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FCA9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163B1">
            <w:pPr>
              <w:jc w:val="center"/>
            </w:pPr>
            <w:r>
              <w:rPr>
                <w:rFonts w:ascii="宋体" w:hAnsi="宋体" w:eastAsia="宋体"/>
                <w:sz w:val="16"/>
              </w:rPr>
              <w:t>线上服务专号收集企业问题诉求（条）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1BB54">
            <w:pPr>
              <w:jc w:val="center"/>
            </w:pPr>
            <w:r>
              <w:rPr>
                <w:rFonts w:ascii="宋体" w:hAnsi="宋体" w:eastAsia="宋体"/>
                <w:sz w:val="16"/>
              </w:rPr>
              <w:t>&gt;=150条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E35B4">
            <w:pPr>
              <w:jc w:val="center"/>
            </w:pPr>
            <w:r>
              <w:rPr>
                <w:rFonts w:ascii="宋体" w:hAnsi="宋体" w:eastAsia="宋体"/>
                <w:sz w:val="16"/>
              </w:rPr>
              <w:t>城东金融贸易发展服务中心2024年工作计划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CA21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8B6AA">
            <w:pPr>
              <w:jc w:val="center"/>
            </w:pPr>
            <w:r>
              <w:rPr>
                <w:rFonts w:ascii="宋体" w:hAnsi="宋体" w:eastAsia="宋体"/>
                <w:sz w:val="16"/>
              </w:rPr>
              <w:t>201条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6FE2A">
            <w:pPr>
              <w:jc w:val="center"/>
            </w:pPr>
            <w:r>
              <w:rPr>
                <w:rFonts w:ascii="宋体" w:hAnsi="宋体" w:eastAsia="宋体"/>
                <w:sz w:val="16"/>
              </w:rPr>
              <w:t>134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77D02">
            <w:pPr>
              <w:jc w:val="center"/>
            </w:pPr>
            <w:r>
              <w:rPr>
                <w:rFonts w:ascii="宋体" w:hAnsi="宋体" w:eastAsia="宋体"/>
                <w:sz w:val="16"/>
              </w:rPr>
              <w:t>15</w:t>
            </w:r>
          </w:p>
        </w:tc>
      </w:tr>
      <w:tr w14:paraId="205CB0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BFB4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4E7E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9CF69">
            <w:pPr>
              <w:jc w:val="center"/>
            </w:pPr>
            <w:r>
              <w:rPr>
                <w:rFonts w:ascii="宋体" w:hAnsi="宋体" w:eastAsia="宋体"/>
                <w:sz w:val="16"/>
              </w:rPr>
              <w:t>每月开展风险隐患的梳理（次）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12E78">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FC1F0">
            <w:pPr>
              <w:jc w:val="center"/>
            </w:pPr>
            <w:r>
              <w:rPr>
                <w:rFonts w:ascii="宋体" w:hAnsi="宋体" w:eastAsia="宋体"/>
                <w:sz w:val="16"/>
              </w:rPr>
              <w:t>城东金融贸易发展服务中心2024年工作计划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BF12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A17B0">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8FC1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8E9F5">
            <w:pPr>
              <w:jc w:val="center"/>
            </w:pPr>
            <w:r>
              <w:rPr>
                <w:rFonts w:ascii="宋体" w:hAnsi="宋体" w:eastAsia="宋体"/>
                <w:sz w:val="16"/>
              </w:rPr>
              <w:t>15</w:t>
            </w:r>
          </w:p>
        </w:tc>
      </w:tr>
    </w:tbl>
    <w:p w14:paraId="0FB3E64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615CE363">
        <w:tblPrEx>
          <w:tblCellMar>
            <w:top w:w="0" w:type="dxa"/>
            <w:left w:w="108" w:type="dxa"/>
            <w:bottom w:w="0" w:type="dxa"/>
            <w:right w:w="108" w:type="dxa"/>
          </w:tblCellMar>
        </w:tblPrEx>
        <w:tc>
          <w:tcPr>
            <w:tcW w:w="8848" w:type="dxa"/>
            <w:gridSpan w:val="14"/>
            <w:vAlign w:val="center"/>
          </w:tcPr>
          <w:p w14:paraId="6F222548">
            <w:pPr>
              <w:jc w:val="center"/>
            </w:pPr>
            <w:r>
              <w:rPr>
                <w:rFonts w:ascii="宋体" w:hAnsi="宋体" w:eastAsia="宋体"/>
                <w:sz w:val="24"/>
              </w:rPr>
              <w:t>项目支出绩效自评表</w:t>
            </w:r>
          </w:p>
        </w:tc>
      </w:tr>
      <w:tr w14:paraId="5C175B3F">
        <w:tblPrEx>
          <w:tblCellMar>
            <w:top w:w="0" w:type="dxa"/>
            <w:left w:w="108" w:type="dxa"/>
            <w:bottom w:w="0" w:type="dxa"/>
            <w:right w:w="108" w:type="dxa"/>
          </w:tblCellMar>
        </w:tblPrEx>
        <w:tc>
          <w:tcPr>
            <w:tcW w:w="8848" w:type="dxa"/>
            <w:gridSpan w:val="14"/>
            <w:vAlign w:val="center"/>
          </w:tcPr>
          <w:p w14:paraId="21F235C8">
            <w:pPr>
              <w:jc w:val="center"/>
            </w:pPr>
            <w:r>
              <w:rPr>
                <w:rFonts w:ascii="宋体" w:hAnsi="宋体" w:eastAsia="宋体"/>
                <w:sz w:val="24"/>
              </w:rPr>
              <w:t>(2024年度)</w:t>
            </w:r>
          </w:p>
        </w:tc>
      </w:tr>
      <w:tr w14:paraId="7D2FF8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9191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98C2EC">
            <w:pPr>
              <w:jc w:val="center"/>
            </w:pPr>
            <w:r>
              <w:rPr>
                <w:rFonts w:ascii="宋体" w:hAnsi="宋体" w:eastAsia="宋体"/>
                <w:sz w:val="16"/>
              </w:rPr>
              <w:t>东城消防站运行项目</w:t>
            </w:r>
          </w:p>
        </w:tc>
      </w:tr>
      <w:tr w14:paraId="1DBCB3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9A61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7C9210">
            <w:pPr>
              <w:jc w:val="center"/>
            </w:pPr>
            <w:r>
              <w:rPr>
                <w:rFonts w:ascii="宋体" w:hAnsi="宋体" w:eastAsia="宋体"/>
                <w:sz w:val="16"/>
              </w:rPr>
              <w:t>城东金融贸易区管理服务中心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BB69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75A066">
            <w:pPr>
              <w:jc w:val="center"/>
            </w:pPr>
            <w:r>
              <w:rPr>
                <w:rFonts w:ascii="宋体" w:hAnsi="宋体" w:eastAsia="宋体"/>
                <w:sz w:val="16"/>
              </w:rPr>
              <w:t>城东金融贸易区管理服务中心</w:t>
            </w:r>
          </w:p>
        </w:tc>
      </w:tr>
      <w:tr w14:paraId="2507C5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70F70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EDE7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91CB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E762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C24C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4E33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E71D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B474D">
            <w:pPr>
              <w:jc w:val="center"/>
            </w:pPr>
            <w:r>
              <w:rPr>
                <w:rFonts w:ascii="宋体" w:hAnsi="宋体" w:eastAsia="宋体"/>
                <w:sz w:val="16"/>
              </w:rPr>
              <w:t>得分</w:t>
            </w:r>
          </w:p>
        </w:tc>
      </w:tr>
      <w:tr w14:paraId="548389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D96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949F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46ACC">
            <w:pPr>
              <w:jc w:val="center"/>
            </w:pPr>
            <w:r>
              <w:rPr>
                <w:rFonts w:ascii="宋体" w:hAnsi="宋体" w:eastAsia="宋体"/>
                <w:sz w:val="16"/>
              </w:rPr>
              <w:t>114.68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4D12B">
            <w:pPr>
              <w:jc w:val="center"/>
            </w:pPr>
            <w:r>
              <w:rPr>
                <w:rFonts w:ascii="宋体" w:hAnsi="宋体" w:eastAsia="宋体"/>
                <w:sz w:val="16"/>
              </w:rPr>
              <w:t>114.68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B40FA">
            <w:pPr>
              <w:jc w:val="center"/>
            </w:pPr>
            <w:r>
              <w:rPr>
                <w:rFonts w:ascii="宋体" w:hAnsi="宋体" w:eastAsia="宋体"/>
                <w:sz w:val="16"/>
              </w:rPr>
              <w:t>112.32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1E9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5A14C">
            <w:pPr>
              <w:jc w:val="center"/>
            </w:pPr>
            <w:r>
              <w:rPr>
                <w:rFonts w:ascii="宋体" w:hAnsi="宋体" w:eastAsia="宋体"/>
                <w:sz w:val="16"/>
              </w:rPr>
              <w:t>97.9%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45C50">
            <w:pPr>
              <w:jc w:val="center"/>
            </w:pPr>
            <w:r>
              <w:rPr>
                <w:rFonts w:ascii="宋体" w:hAnsi="宋体" w:eastAsia="宋体"/>
                <w:sz w:val="16"/>
              </w:rPr>
              <w:t>10.00分</w:t>
            </w:r>
          </w:p>
        </w:tc>
      </w:tr>
      <w:tr w14:paraId="5A4FFF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24D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9A4B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53032">
            <w:pPr>
              <w:jc w:val="center"/>
            </w:pPr>
            <w:r>
              <w:rPr>
                <w:rFonts w:ascii="宋体" w:hAnsi="宋体" w:eastAsia="宋体"/>
                <w:sz w:val="16"/>
              </w:rPr>
              <w:t>114.68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13B82">
            <w:pPr>
              <w:jc w:val="center"/>
            </w:pPr>
            <w:r>
              <w:rPr>
                <w:rFonts w:ascii="宋体" w:hAnsi="宋体" w:eastAsia="宋体"/>
                <w:sz w:val="16"/>
              </w:rPr>
              <w:t>114.68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79DE9">
            <w:pPr>
              <w:jc w:val="center"/>
            </w:pPr>
            <w:r>
              <w:rPr>
                <w:rFonts w:ascii="宋体" w:hAnsi="宋体" w:eastAsia="宋体"/>
                <w:sz w:val="16"/>
              </w:rPr>
              <w:t>112.32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D6A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634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AF0AA">
            <w:pPr>
              <w:jc w:val="center"/>
            </w:pPr>
            <w:r>
              <w:rPr>
                <w:rFonts w:ascii="宋体" w:hAnsi="宋体" w:eastAsia="宋体"/>
                <w:sz w:val="16"/>
              </w:rPr>
              <w:t>—</w:t>
            </w:r>
          </w:p>
        </w:tc>
      </w:tr>
      <w:tr w14:paraId="09D50B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B87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7DD9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191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FD2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B34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4811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724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63368">
            <w:pPr>
              <w:jc w:val="center"/>
            </w:pPr>
            <w:r>
              <w:rPr>
                <w:rFonts w:ascii="宋体" w:hAnsi="宋体" w:eastAsia="宋体"/>
                <w:sz w:val="16"/>
              </w:rPr>
              <w:t>—</w:t>
            </w:r>
          </w:p>
        </w:tc>
      </w:tr>
      <w:tr w14:paraId="25B51D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7B577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98291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2A93A9">
            <w:pPr>
              <w:jc w:val="center"/>
            </w:pPr>
            <w:r>
              <w:rPr>
                <w:rFonts w:ascii="宋体" w:hAnsi="宋体" w:eastAsia="宋体"/>
                <w:sz w:val="16"/>
              </w:rPr>
              <w:t>实际完成情况</w:t>
            </w:r>
          </w:p>
        </w:tc>
      </w:tr>
      <w:tr w14:paraId="1F7BB7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9DCD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453A2F">
            <w:pPr>
              <w:jc w:val="both"/>
            </w:pPr>
            <w:r>
              <w:rPr>
                <w:rFonts w:ascii="宋体" w:hAnsi="宋体" w:eastAsia="宋体"/>
                <w:sz w:val="16"/>
              </w:rPr>
              <w:t>该项目安排资金114.688万元，用于东城新区消防站消防员伙食补助26人*26元/天*365天=23.68万元，消防员业务经费：3.5万元/年/人*26人=91万元。切实负担起消防监督、火灾及各类灾害事故救援工作，保障城市消防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AA8E71">
            <w:pPr>
              <w:jc w:val="both"/>
            </w:pPr>
            <w:r>
              <w:rPr>
                <w:rFonts w:hint="eastAsia" w:ascii="宋体" w:hAnsi="宋体"/>
                <w:sz w:val="16"/>
                <w:lang w:eastAsia="zh-CN"/>
              </w:rPr>
              <w:t>截至</w:t>
            </w:r>
            <w:r>
              <w:rPr>
                <w:rFonts w:ascii="宋体" w:hAnsi="宋体" w:eastAsia="宋体"/>
                <w:sz w:val="16"/>
              </w:rPr>
              <w:t>2024年12月31日，该项目共安排资金114.68万元，已执行112.32万元，执行率97.9%，用于东城新区消防站工作人员26人伙食补助，支付消防员伙食补助23.68万元，消防员业务经费88.64万元，保障了城市消防安全，开发区工作人员满意度达到了100%。</w:t>
            </w:r>
          </w:p>
        </w:tc>
      </w:tr>
      <w:tr w14:paraId="18E82A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FC5F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15C0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7CC1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FD9F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80FF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F30E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248D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F769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DFEA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CE39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C6DF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8DCB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FB315">
            <w:pPr>
              <w:jc w:val="center"/>
            </w:pPr>
            <w:r>
              <w:rPr>
                <w:rFonts w:ascii="宋体" w:hAnsi="宋体" w:eastAsia="宋体"/>
                <w:sz w:val="16"/>
              </w:rPr>
              <w:t>偏差原因分析及改进措施</w:t>
            </w:r>
          </w:p>
        </w:tc>
      </w:tr>
      <w:tr w14:paraId="6E31FE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3F4A7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3955A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737F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C11D6">
            <w:pPr>
              <w:jc w:val="center"/>
            </w:pPr>
            <w:r>
              <w:rPr>
                <w:rFonts w:ascii="宋体" w:hAnsi="宋体" w:eastAsia="宋体"/>
                <w:sz w:val="16"/>
              </w:rPr>
              <w:t>消防站工作人员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E9CF2">
            <w:pPr>
              <w:jc w:val="center"/>
            </w:pPr>
            <w:r>
              <w:rPr>
                <w:rFonts w:ascii="宋体" w:hAnsi="宋体" w:eastAsia="宋体"/>
                <w:sz w:val="16"/>
              </w:rPr>
              <w:t>&gt;=26人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52A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972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C94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ECA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F73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2C6B3">
            <w:pPr>
              <w:jc w:val="center"/>
            </w:pPr>
            <w:r>
              <w:rPr>
                <w:rFonts w:ascii="宋体" w:hAnsi="宋体" w:eastAsia="宋体"/>
                <w:sz w:val="16"/>
              </w:rPr>
              <w: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4F4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E79E5">
            <w:pPr>
              <w:jc w:val="center"/>
            </w:pPr>
          </w:p>
        </w:tc>
      </w:tr>
      <w:tr w14:paraId="532323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F32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E1C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6106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420D2">
            <w:pPr>
              <w:jc w:val="center"/>
            </w:pPr>
            <w:r>
              <w:rPr>
                <w:rFonts w:ascii="宋体" w:hAnsi="宋体" w:eastAsia="宋体"/>
                <w:sz w:val="16"/>
              </w:rPr>
              <w:t>项目管理合格率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C50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E7E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3DA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2D53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922C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20A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1AE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1CA9D">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0BB34">
            <w:pPr>
              <w:jc w:val="center"/>
            </w:pPr>
          </w:p>
        </w:tc>
      </w:tr>
      <w:tr w14:paraId="39157E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A97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2C7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ABC1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D3C5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EDA4A">
            <w:pPr>
              <w:jc w:val="center"/>
            </w:pPr>
            <w:r>
              <w:rPr>
                <w:rFonts w:ascii="宋体" w:hAnsi="宋体" w:eastAsia="宋体"/>
                <w:sz w:val="16"/>
              </w:rPr>
              <w:t>=2024年11月21日前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201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166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251E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2FF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4D0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70D50">
            <w:pPr>
              <w:jc w:val="center"/>
            </w:pPr>
            <w:r>
              <w:rPr>
                <w:rFonts w:ascii="宋体" w:hAnsi="宋体" w:eastAsia="宋体"/>
                <w:sz w:val="16"/>
              </w:rPr>
              <w:t>=2024年11月20日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01742">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3E8CB">
            <w:pPr>
              <w:jc w:val="center"/>
            </w:pPr>
          </w:p>
        </w:tc>
      </w:tr>
      <w:tr w14:paraId="04BA0D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EC5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F52F7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E83F5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14B40">
            <w:pPr>
              <w:jc w:val="center"/>
            </w:pPr>
            <w:r>
              <w:rPr>
                <w:rFonts w:ascii="宋体" w:hAnsi="宋体" w:eastAsia="宋体"/>
                <w:sz w:val="16"/>
              </w:rPr>
              <w:t>消防员伙食补助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DAE98">
            <w:pPr>
              <w:jc w:val="center"/>
            </w:pPr>
            <w:r>
              <w:rPr>
                <w:rFonts w:ascii="宋体" w:hAnsi="宋体" w:eastAsia="宋体"/>
                <w:sz w:val="16"/>
              </w:rPr>
              <w:t>&lt;=23.68万元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2171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0FF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42F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E0A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2BD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4D0E6">
            <w:pPr>
              <w:jc w:val="center"/>
            </w:pPr>
            <w:r>
              <w:rPr>
                <w:rFonts w:ascii="宋体" w:hAnsi="宋体" w:eastAsia="宋体"/>
                <w:sz w:val="16"/>
              </w:rPr>
              <w:t>=23.68万元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F06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9C460">
            <w:pPr>
              <w:jc w:val="center"/>
            </w:pPr>
          </w:p>
        </w:tc>
      </w:tr>
      <w:tr w14:paraId="4D915F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C77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97C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782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E0FC2">
            <w:pPr>
              <w:jc w:val="center"/>
            </w:pPr>
            <w:r>
              <w:rPr>
                <w:rFonts w:ascii="宋体" w:hAnsi="宋体" w:eastAsia="宋体"/>
                <w:sz w:val="16"/>
              </w:rPr>
              <w:t>消防员业务费用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3D073">
            <w:pPr>
              <w:jc w:val="center"/>
            </w:pPr>
            <w:r>
              <w:rPr>
                <w:rFonts w:ascii="宋体" w:hAnsi="宋体" w:eastAsia="宋体"/>
                <w:sz w:val="16"/>
              </w:rPr>
              <w:t>&lt;=91万元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89C6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02F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6E0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7D1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E37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FD018">
            <w:pPr>
              <w:jc w:val="center"/>
            </w:pPr>
            <w:r>
              <w:rPr>
                <w:rFonts w:ascii="宋体" w:hAnsi="宋体" w:eastAsia="宋体"/>
                <w:sz w:val="16"/>
              </w:rPr>
              <w:t>=88.64万元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2C66E">
            <w:pPr>
              <w:jc w:val="center"/>
            </w:pPr>
            <w:r>
              <w:rPr>
                <w:rFonts w:ascii="宋体" w:hAnsi="宋体" w:eastAsia="宋体"/>
                <w:sz w:val="16"/>
              </w:rPr>
              <w:t>9.35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9A365">
            <w:pPr>
              <w:jc w:val="center"/>
            </w:pPr>
            <w:r>
              <w:rPr>
                <w:rFonts w:ascii="宋体" w:hAnsi="宋体" w:eastAsia="宋体"/>
                <w:sz w:val="16"/>
              </w:rPr>
              <w:t>项目初期，消防员业务费用的预算测算存在偏差，导致预期值设置偏高。改进措施：深入分析，更好地把握和预测消防员业务费用的实际支出情况，避免出现偏差</w:t>
            </w:r>
          </w:p>
        </w:tc>
      </w:tr>
      <w:tr w14:paraId="3A86CB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F1A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5EC4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8F33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74805">
            <w:pPr>
              <w:jc w:val="center"/>
            </w:pPr>
            <w:r>
              <w:rPr>
                <w:rFonts w:ascii="宋体" w:hAnsi="宋体" w:eastAsia="宋体"/>
                <w:sz w:val="16"/>
              </w:rPr>
              <w:t>保障城市消防安全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16667">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AE4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703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68F0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C838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F3A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4D299">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142A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2742C">
            <w:pPr>
              <w:jc w:val="center"/>
            </w:pPr>
          </w:p>
        </w:tc>
      </w:tr>
      <w:tr w14:paraId="3F5154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DE1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4717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FFE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2CFA5">
            <w:pPr>
              <w:jc w:val="center"/>
            </w:pPr>
            <w:r>
              <w:rPr>
                <w:rFonts w:ascii="宋体" w:hAnsi="宋体" w:eastAsia="宋体"/>
                <w:sz w:val="16"/>
              </w:rPr>
              <w:t>开发区工作人员满意度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905C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93F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812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D41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2CF9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F18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D12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756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1E371">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1839689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C89F3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400B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4C97F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506B9">
            <w:pPr>
              <w:jc w:val="center"/>
            </w:pPr>
            <w:r>
              <w:rPr>
                <w:rFonts w:ascii="宋体" w:hAnsi="宋体" w:eastAsia="宋体"/>
                <w:sz w:val="16"/>
              </w:rPr>
              <w:t>99.35分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9757595"/>
        </w:tc>
      </w:tr>
    </w:tbl>
    <w:p w14:paraId="53B55B1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4BED6E6B">
        <w:tc>
          <w:tcPr>
            <w:tcW w:w="8848" w:type="dxa"/>
            <w:gridSpan w:val="14"/>
            <w:vAlign w:val="center"/>
          </w:tcPr>
          <w:p w14:paraId="14F005CD">
            <w:pPr>
              <w:jc w:val="center"/>
            </w:pPr>
            <w:r>
              <w:rPr>
                <w:rFonts w:ascii="宋体" w:hAnsi="宋体" w:eastAsia="宋体"/>
                <w:sz w:val="24"/>
              </w:rPr>
              <w:t>项目支出绩效自评表</w:t>
            </w:r>
          </w:p>
        </w:tc>
      </w:tr>
      <w:tr w14:paraId="2318721D">
        <w:tblPrEx>
          <w:tblCellMar>
            <w:top w:w="0" w:type="dxa"/>
            <w:left w:w="108" w:type="dxa"/>
            <w:bottom w:w="0" w:type="dxa"/>
            <w:right w:w="108" w:type="dxa"/>
          </w:tblCellMar>
        </w:tblPrEx>
        <w:tc>
          <w:tcPr>
            <w:tcW w:w="8848" w:type="dxa"/>
            <w:gridSpan w:val="14"/>
            <w:vAlign w:val="center"/>
          </w:tcPr>
          <w:p w14:paraId="47C9EED1">
            <w:pPr>
              <w:jc w:val="center"/>
            </w:pPr>
            <w:r>
              <w:rPr>
                <w:rFonts w:ascii="宋体" w:hAnsi="宋体" w:eastAsia="宋体"/>
                <w:sz w:val="24"/>
              </w:rPr>
              <w:t>(2024年度)</w:t>
            </w:r>
          </w:p>
        </w:tc>
      </w:tr>
      <w:tr w14:paraId="7B32FA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5874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057AA7F">
            <w:pPr>
              <w:jc w:val="center"/>
            </w:pPr>
            <w:r>
              <w:rPr>
                <w:rFonts w:ascii="宋体" w:hAnsi="宋体" w:eastAsia="宋体"/>
                <w:sz w:val="16"/>
              </w:rPr>
              <w:t>先进集体及个人表彰工作项目</w:t>
            </w:r>
          </w:p>
        </w:tc>
      </w:tr>
      <w:tr w14:paraId="073169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3FAC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62F289">
            <w:pPr>
              <w:jc w:val="center"/>
            </w:pPr>
            <w:r>
              <w:rPr>
                <w:rFonts w:ascii="宋体" w:hAnsi="宋体" w:eastAsia="宋体"/>
                <w:sz w:val="16"/>
              </w:rPr>
              <w:t>城东金融贸易区管理服务中心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CD9A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CD4D2B">
            <w:pPr>
              <w:jc w:val="center"/>
            </w:pPr>
            <w:r>
              <w:rPr>
                <w:rFonts w:ascii="宋体" w:hAnsi="宋体" w:eastAsia="宋体"/>
                <w:sz w:val="16"/>
              </w:rPr>
              <w:t>城东金融贸易区管理服务中心</w:t>
            </w:r>
          </w:p>
        </w:tc>
      </w:tr>
      <w:tr w14:paraId="3C7B2F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E630B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9666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6530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5A8A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1DC6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9B95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68F5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04966">
            <w:pPr>
              <w:jc w:val="center"/>
            </w:pPr>
            <w:r>
              <w:rPr>
                <w:rFonts w:ascii="宋体" w:hAnsi="宋体" w:eastAsia="宋体"/>
                <w:sz w:val="16"/>
              </w:rPr>
              <w:t>得分</w:t>
            </w:r>
          </w:p>
        </w:tc>
      </w:tr>
      <w:tr w14:paraId="43664B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7B2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C40B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BE46C">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8C57A">
            <w:pPr>
              <w:jc w:val="center"/>
            </w:pPr>
            <w:r>
              <w:rPr>
                <w:rFonts w:ascii="宋体" w:hAnsi="宋体" w:eastAsia="宋体"/>
                <w:sz w:val="16"/>
              </w:rPr>
              <w:t>0.49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A7A9A">
            <w:pPr>
              <w:jc w:val="center"/>
            </w:pPr>
            <w:r>
              <w:rPr>
                <w:rFonts w:ascii="宋体" w:hAnsi="宋体" w:eastAsia="宋体"/>
                <w:sz w:val="16"/>
              </w:rPr>
              <w:t>0.49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140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8E96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08877">
            <w:pPr>
              <w:jc w:val="center"/>
            </w:pPr>
            <w:r>
              <w:rPr>
                <w:rFonts w:ascii="宋体" w:hAnsi="宋体" w:eastAsia="宋体"/>
                <w:sz w:val="16"/>
              </w:rPr>
              <w:t>10.00分</w:t>
            </w:r>
          </w:p>
        </w:tc>
      </w:tr>
      <w:tr w14:paraId="09CF6A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732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EDE1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F3E75">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D2368">
            <w:pPr>
              <w:jc w:val="center"/>
            </w:pPr>
            <w:r>
              <w:rPr>
                <w:rFonts w:ascii="宋体" w:hAnsi="宋体" w:eastAsia="宋体"/>
                <w:sz w:val="16"/>
              </w:rPr>
              <w:t>0.49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6ABA1">
            <w:pPr>
              <w:jc w:val="center"/>
            </w:pPr>
            <w:r>
              <w:rPr>
                <w:rFonts w:ascii="宋体" w:hAnsi="宋体" w:eastAsia="宋体"/>
                <w:sz w:val="16"/>
              </w:rPr>
              <w:t>0.49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DD1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C40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94087">
            <w:pPr>
              <w:jc w:val="center"/>
            </w:pPr>
            <w:r>
              <w:rPr>
                <w:rFonts w:ascii="宋体" w:hAnsi="宋体" w:eastAsia="宋体"/>
                <w:sz w:val="16"/>
              </w:rPr>
              <w:t>—</w:t>
            </w:r>
          </w:p>
        </w:tc>
      </w:tr>
      <w:tr w14:paraId="090470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3A3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BDC2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3BD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DC9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83C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5ED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FC6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CFC6D">
            <w:pPr>
              <w:jc w:val="center"/>
            </w:pPr>
            <w:r>
              <w:rPr>
                <w:rFonts w:ascii="宋体" w:hAnsi="宋体" w:eastAsia="宋体"/>
                <w:sz w:val="16"/>
              </w:rPr>
              <w:t>—</w:t>
            </w:r>
          </w:p>
        </w:tc>
      </w:tr>
      <w:tr w14:paraId="10539D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649A3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BF016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425EB6">
            <w:pPr>
              <w:jc w:val="center"/>
            </w:pPr>
            <w:r>
              <w:rPr>
                <w:rFonts w:ascii="宋体" w:hAnsi="宋体" w:eastAsia="宋体"/>
                <w:sz w:val="16"/>
              </w:rPr>
              <w:t>实际完成情况</w:t>
            </w:r>
          </w:p>
        </w:tc>
      </w:tr>
      <w:tr w14:paraId="148444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5DE0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060E4F">
            <w:pPr>
              <w:jc w:val="both"/>
            </w:pPr>
            <w:r>
              <w:rPr>
                <w:rFonts w:ascii="宋体" w:hAnsi="宋体" w:eastAsia="宋体"/>
                <w:sz w:val="16"/>
              </w:rPr>
              <w:t>项目总投资0.49万元，用于各类活动及表彰，参加活动干部18人，采购举办活动相关物资1次，实施本项目能够有效激励干部职工的工作热情。</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E67280">
            <w:pPr>
              <w:jc w:val="both"/>
            </w:pPr>
            <w:r>
              <w:rPr>
                <w:rFonts w:hint="eastAsia" w:ascii="宋体" w:hAnsi="宋体"/>
                <w:sz w:val="16"/>
                <w:lang w:eastAsia="zh-CN"/>
              </w:rPr>
              <w:t>截至</w:t>
            </w:r>
            <w:r>
              <w:rPr>
                <w:rFonts w:ascii="宋体" w:hAnsi="宋体" w:eastAsia="宋体"/>
                <w:sz w:val="16"/>
              </w:rPr>
              <w:t>2024年12月31日，先进集体及个人表彰工作项目总投资0.49万元，已执行0.49万元，执行率100%，主要用于各类活动及表彰，参加活动干部18人，采购举办活动相关物资1次，支付活动经费0.49万元，实施本项目激励了城东中心干部职工的工作热情，城东中心干部职工满意度达到了100%。</w:t>
            </w:r>
          </w:p>
        </w:tc>
      </w:tr>
      <w:tr w14:paraId="4B3695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4040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65AE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2846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30B8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47BC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7C4A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E89B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9256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EC34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E286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8564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4451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8C15B">
            <w:pPr>
              <w:jc w:val="center"/>
            </w:pPr>
            <w:r>
              <w:rPr>
                <w:rFonts w:ascii="宋体" w:hAnsi="宋体" w:eastAsia="宋体"/>
                <w:sz w:val="16"/>
              </w:rPr>
              <w:t>偏差原因分析及改进措施</w:t>
            </w:r>
          </w:p>
        </w:tc>
      </w:tr>
      <w:tr w14:paraId="5CB8B4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DC048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22BC6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BC1DA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CC2EF">
            <w:pPr>
              <w:jc w:val="center"/>
            </w:pPr>
            <w:r>
              <w:rPr>
                <w:rFonts w:ascii="宋体" w:hAnsi="宋体" w:eastAsia="宋体"/>
                <w:sz w:val="16"/>
              </w:rPr>
              <w:t>参加活动干部人数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034DB">
            <w:pPr>
              <w:jc w:val="center"/>
            </w:pPr>
            <w:r>
              <w:rPr>
                <w:rFonts w:ascii="宋体" w:hAnsi="宋体" w:eastAsia="宋体"/>
                <w:sz w:val="16"/>
              </w:rPr>
              <w:t>&gt;=18人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AE4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CAD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662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0E3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A22D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E02FA">
            <w:pPr>
              <w:jc w:val="center"/>
            </w:pPr>
            <w:r>
              <w:rPr>
                <w:rFonts w:ascii="宋体" w:hAnsi="宋体" w:eastAsia="宋体"/>
                <w:sz w:val="16"/>
              </w:rPr>
              <w: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71B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E66E2">
            <w:pPr>
              <w:jc w:val="center"/>
            </w:pPr>
          </w:p>
        </w:tc>
      </w:tr>
      <w:tr w14:paraId="336657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B1A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6E9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CF9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4780C">
            <w:pPr>
              <w:jc w:val="center"/>
            </w:pPr>
            <w:r>
              <w:rPr>
                <w:rFonts w:ascii="宋体" w:hAnsi="宋体" w:eastAsia="宋体"/>
                <w:sz w:val="16"/>
              </w:rPr>
              <w:t>采购举办活动相关物资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0544E">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D57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12B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446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AC7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0EA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8DE1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5C4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1D177">
            <w:pPr>
              <w:jc w:val="center"/>
            </w:pPr>
          </w:p>
        </w:tc>
      </w:tr>
      <w:tr w14:paraId="09F51F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DE0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DA4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7433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763E5">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98F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C40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424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604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AE22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4A1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5F7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413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CD6C1">
            <w:pPr>
              <w:jc w:val="center"/>
            </w:pPr>
          </w:p>
        </w:tc>
      </w:tr>
      <w:tr w14:paraId="0CAE66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BD5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654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33F0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92B9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D3E9F">
            <w:pPr>
              <w:jc w:val="center"/>
            </w:pPr>
            <w:r>
              <w:rPr>
                <w:rFonts w:ascii="宋体" w:hAnsi="宋体" w:eastAsia="宋体"/>
                <w:sz w:val="16"/>
              </w:rPr>
              <w:t>=2024年11月18日前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9B4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5C0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9D5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D98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A1E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6882C">
            <w:pPr>
              <w:jc w:val="center"/>
            </w:pPr>
            <w:r>
              <w:rPr>
                <w:rFonts w:ascii="宋体" w:hAnsi="宋体" w:eastAsia="宋体"/>
                <w:sz w:val="16"/>
              </w:rPr>
              <w:t>=2024年11月17日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3CA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44C09">
            <w:pPr>
              <w:jc w:val="center"/>
            </w:pPr>
          </w:p>
        </w:tc>
      </w:tr>
      <w:tr w14:paraId="42E88A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861B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BF7E9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BA36B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AC415">
            <w:pPr>
              <w:jc w:val="center"/>
            </w:pPr>
            <w:r>
              <w:rPr>
                <w:rFonts w:ascii="宋体" w:hAnsi="宋体" w:eastAsia="宋体"/>
                <w:sz w:val="16"/>
              </w:rPr>
              <w:t>活动经费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5D6AE">
            <w:pPr>
              <w:jc w:val="center"/>
            </w:pPr>
            <w:r>
              <w:rPr>
                <w:rFonts w:ascii="宋体" w:hAnsi="宋体" w:eastAsia="宋体"/>
                <w:sz w:val="16"/>
              </w:rPr>
              <w:t>&lt;=0.49万元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59D0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686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F19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E06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C8F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51768">
            <w:pPr>
              <w:jc w:val="center"/>
            </w:pPr>
            <w:r>
              <w:rPr>
                <w:rFonts w:ascii="宋体" w:hAnsi="宋体" w:eastAsia="宋体"/>
                <w:sz w:val="16"/>
              </w:rPr>
              <w:t>=0.49万元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678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D7772">
            <w:pPr>
              <w:jc w:val="center"/>
            </w:pPr>
          </w:p>
        </w:tc>
      </w:tr>
      <w:tr w14:paraId="357377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0C8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46C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876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A8D33">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92D5C">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E825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5B6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340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359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F74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84E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F10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CC8C9">
            <w:pPr>
              <w:jc w:val="center"/>
            </w:pPr>
          </w:p>
        </w:tc>
      </w:tr>
      <w:tr w14:paraId="6E9502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0BD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227C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0EFC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14FDD">
            <w:pPr>
              <w:jc w:val="center"/>
            </w:pPr>
            <w:r>
              <w:rPr>
                <w:rFonts w:ascii="宋体" w:hAnsi="宋体" w:eastAsia="宋体"/>
                <w:sz w:val="16"/>
              </w:rPr>
              <w:t>激励干部职工的工作热情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81BDD">
            <w:pPr>
              <w:jc w:val="center"/>
            </w:pPr>
            <w:r>
              <w:rPr>
                <w:rFonts w:ascii="宋体" w:hAnsi="宋体" w:eastAsia="宋体"/>
                <w:sz w:val="16"/>
              </w:rPr>
              <w:t>激励</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32D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233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8486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5CF9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19D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CB5DB">
            <w:pPr>
              <w:jc w:val="center"/>
            </w:pPr>
            <w:r>
              <w:rPr>
                <w:rFonts w:ascii="宋体" w:hAnsi="宋体" w:eastAsia="宋体"/>
                <w:sz w:val="16"/>
              </w:rPr>
              <w:t>激励</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FFF9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5E3E4">
            <w:pPr>
              <w:jc w:val="center"/>
            </w:pPr>
          </w:p>
        </w:tc>
      </w:tr>
      <w:tr w14:paraId="7F8565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660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01E2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3B3E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E1FA8">
            <w:pPr>
              <w:jc w:val="center"/>
            </w:pPr>
            <w:r>
              <w:rPr>
                <w:rFonts w:ascii="宋体" w:hAnsi="宋体" w:eastAsia="宋体"/>
                <w:sz w:val="16"/>
              </w:rPr>
              <w:t>城东中心干部职工满意度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02BA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989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BFE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BB2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F991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2DB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E9D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024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BC859">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45B401D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33E68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F7A2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BE62B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58B5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EFF57D9"/>
        </w:tc>
      </w:tr>
    </w:tbl>
    <w:p w14:paraId="6D2BC192">
      <w:r>
        <w:br w:type="page"/>
      </w:r>
    </w:p>
    <w:tbl>
      <w:tblPr>
        <w:tblStyle w:val="9"/>
        <w:tblW w:w="0" w:type="auto"/>
        <w:tblInd w:w="0" w:type="dxa"/>
        <w:tblLayout w:type="autofit"/>
        <w:tblCellMar>
          <w:top w:w="0" w:type="dxa"/>
          <w:left w:w="108" w:type="dxa"/>
          <w:bottom w:w="0" w:type="dxa"/>
          <w:right w:w="108" w:type="dxa"/>
        </w:tblCellMar>
      </w:tblPr>
      <w:tblGrid>
        <w:gridCol w:w="619"/>
        <w:gridCol w:w="599"/>
        <w:gridCol w:w="600"/>
        <w:gridCol w:w="600"/>
        <w:gridCol w:w="936"/>
        <w:gridCol w:w="608"/>
        <w:gridCol w:w="605"/>
        <w:gridCol w:w="612"/>
        <w:gridCol w:w="601"/>
        <w:gridCol w:w="600"/>
        <w:gridCol w:w="856"/>
        <w:gridCol w:w="632"/>
        <w:gridCol w:w="561"/>
        <w:gridCol w:w="631"/>
      </w:tblGrid>
      <w:tr w14:paraId="165C36C7">
        <w:tblPrEx>
          <w:tblCellMar>
            <w:top w:w="0" w:type="dxa"/>
            <w:left w:w="108" w:type="dxa"/>
            <w:bottom w:w="0" w:type="dxa"/>
            <w:right w:w="108" w:type="dxa"/>
          </w:tblCellMar>
        </w:tblPrEx>
        <w:tc>
          <w:tcPr>
            <w:tcW w:w="8848" w:type="dxa"/>
            <w:gridSpan w:val="14"/>
            <w:vAlign w:val="center"/>
          </w:tcPr>
          <w:p w14:paraId="02FCED41">
            <w:pPr>
              <w:jc w:val="center"/>
            </w:pPr>
            <w:r>
              <w:rPr>
                <w:rFonts w:ascii="宋体" w:hAnsi="宋体" w:eastAsia="宋体"/>
                <w:sz w:val="24"/>
              </w:rPr>
              <w:t>项目支出绩效自评表</w:t>
            </w:r>
          </w:p>
        </w:tc>
      </w:tr>
      <w:tr w14:paraId="59CFEF67">
        <w:tblPrEx>
          <w:tblCellMar>
            <w:top w:w="0" w:type="dxa"/>
            <w:left w:w="108" w:type="dxa"/>
            <w:bottom w:w="0" w:type="dxa"/>
            <w:right w:w="108" w:type="dxa"/>
          </w:tblCellMar>
        </w:tblPrEx>
        <w:tc>
          <w:tcPr>
            <w:tcW w:w="8848" w:type="dxa"/>
            <w:gridSpan w:val="14"/>
            <w:vAlign w:val="center"/>
          </w:tcPr>
          <w:p w14:paraId="232B7C3E">
            <w:pPr>
              <w:jc w:val="center"/>
            </w:pPr>
            <w:r>
              <w:rPr>
                <w:rFonts w:ascii="宋体" w:hAnsi="宋体" w:eastAsia="宋体"/>
                <w:sz w:val="24"/>
              </w:rPr>
              <w:t>(2024年度)</w:t>
            </w:r>
          </w:p>
        </w:tc>
      </w:tr>
      <w:tr w14:paraId="07B991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50F0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047337">
            <w:pPr>
              <w:jc w:val="center"/>
            </w:pPr>
            <w:r>
              <w:rPr>
                <w:rFonts w:ascii="宋体" w:hAnsi="宋体" w:eastAsia="宋体"/>
                <w:sz w:val="16"/>
              </w:rPr>
              <w:t>兵团产业发展扶持资金</w:t>
            </w:r>
          </w:p>
        </w:tc>
      </w:tr>
      <w:tr w14:paraId="2D34E1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67B0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D9D44E">
            <w:pPr>
              <w:jc w:val="center"/>
            </w:pPr>
            <w:r>
              <w:rPr>
                <w:rFonts w:ascii="宋体" w:hAnsi="宋体" w:eastAsia="宋体"/>
                <w:sz w:val="16"/>
              </w:rPr>
              <w:t>城东金融贸易区管理服务中心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E34B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FB7E90">
            <w:pPr>
              <w:jc w:val="center"/>
            </w:pPr>
            <w:r>
              <w:rPr>
                <w:rFonts w:ascii="宋体" w:hAnsi="宋体" w:eastAsia="宋体"/>
                <w:sz w:val="16"/>
              </w:rPr>
              <w:t>城东金融贸易区管理服务中心</w:t>
            </w:r>
          </w:p>
        </w:tc>
      </w:tr>
      <w:tr w14:paraId="087197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1D96A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675C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0AC2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B4E4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E0F9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54D9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CFD8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B7E05">
            <w:pPr>
              <w:jc w:val="center"/>
            </w:pPr>
            <w:r>
              <w:rPr>
                <w:rFonts w:ascii="宋体" w:hAnsi="宋体" w:eastAsia="宋体"/>
                <w:sz w:val="16"/>
              </w:rPr>
              <w:t>得分</w:t>
            </w:r>
          </w:p>
        </w:tc>
      </w:tr>
      <w:tr w14:paraId="627788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E24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A85D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F2FD2">
            <w:pPr>
              <w:jc w:val="center"/>
            </w:pPr>
            <w:r>
              <w:rPr>
                <w:rFonts w:ascii="宋体" w:hAnsi="宋体" w:eastAsia="宋体"/>
                <w:sz w:val="16"/>
              </w:rPr>
              <w:t>5,500.00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3D2CA">
            <w:pPr>
              <w:jc w:val="center"/>
            </w:pPr>
            <w:r>
              <w:rPr>
                <w:rFonts w:ascii="宋体" w:hAnsi="宋体" w:eastAsia="宋体"/>
                <w:sz w:val="16"/>
              </w:rPr>
              <w:t>4,418.19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106CF">
            <w:pPr>
              <w:jc w:val="center"/>
            </w:pPr>
            <w:r>
              <w:rPr>
                <w:rFonts w:ascii="宋体" w:hAnsi="宋体" w:eastAsia="宋体"/>
                <w:sz w:val="16"/>
              </w:rPr>
              <w:t>4,418.19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6C5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F82F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A6238">
            <w:pPr>
              <w:jc w:val="center"/>
            </w:pPr>
            <w:r>
              <w:rPr>
                <w:rFonts w:ascii="宋体" w:hAnsi="宋体" w:eastAsia="宋体"/>
                <w:sz w:val="16"/>
              </w:rPr>
              <w:t>10.00分</w:t>
            </w:r>
          </w:p>
        </w:tc>
      </w:tr>
      <w:tr w14:paraId="5E65A5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98B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12D6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AA8F1">
            <w:pPr>
              <w:jc w:val="center"/>
            </w:pPr>
            <w:r>
              <w:rPr>
                <w:rFonts w:ascii="宋体" w:hAnsi="宋体" w:eastAsia="宋体"/>
                <w:sz w:val="16"/>
              </w:rPr>
              <w:t>5,500.00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562E6">
            <w:pPr>
              <w:jc w:val="center"/>
            </w:pPr>
            <w:r>
              <w:rPr>
                <w:rFonts w:ascii="宋体" w:hAnsi="宋体" w:eastAsia="宋体"/>
                <w:sz w:val="16"/>
              </w:rPr>
              <w:t>4,418.19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C12B0">
            <w:pPr>
              <w:jc w:val="center"/>
            </w:pPr>
            <w:r>
              <w:rPr>
                <w:rFonts w:ascii="宋体" w:hAnsi="宋体" w:eastAsia="宋体"/>
                <w:sz w:val="16"/>
              </w:rPr>
              <w:t>4,418.19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D58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40B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40183">
            <w:pPr>
              <w:jc w:val="center"/>
            </w:pPr>
            <w:r>
              <w:rPr>
                <w:rFonts w:ascii="宋体" w:hAnsi="宋体" w:eastAsia="宋体"/>
                <w:sz w:val="16"/>
              </w:rPr>
              <w:t>—</w:t>
            </w:r>
          </w:p>
        </w:tc>
      </w:tr>
      <w:tr w14:paraId="5FB610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6B2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8F91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E13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AB6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9DF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033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4E8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6F7D4">
            <w:pPr>
              <w:jc w:val="center"/>
            </w:pPr>
            <w:r>
              <w:rPr>
                <w:rFonts w:ascii="宋体" w:hAnsi="宋体" w:eastAsia="宋体"/>
                <w:sz w:val="16"/>
              </w:rPr>
              <w:t>—</w:t>
            </w:r>
          </w:p>
        </w:tc>
      </w:tr>
      <w:tr w14:paraId="2AFDCB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52A40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7101D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16E9D4">
            <w:pPr>
              <w:jc w:val="center"/>
            </w:pPr>
            <w:r>
              <w:rPr>
                <w:rFonts w:ascii="宋体" w:hAnsi="宋体" w:eastAsia="宋体"/>
                <w:sz w:val="16"/>
              </w:rPr>
              <w:t>实际完成情况</w:t>
            </w:r>
          </w:p>
        </w:tc>
      </w:tr>
      <w:tr w14:paraId="1B5830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F9F6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FB4C0A">
            <w:pPr>
              <w:jc w:val="both"/>
            </w:pPr>
            <w:r>
              <w:rPr>
                <w:rFonts w:ascii="宋体" w:hAnsi="宋体" w:eastAsia="宋体"/>
                <w:sz w:val="16"/>
              </w:rPr>
              <w:t>项目预算安排资金4418.19万元，其中：财政资金4418.19万元。用于支持兵团产业发展。通过实施本项目，进一步推动兵团分区建设，助力区域数字经济发展，带动地方产业服务升级，为兵团分区提供更大的产业发展空间，促进兵团分区企业的产业拓展和价值攀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6B55DD">
            <w:pPr>
              <w:jc w:val="both"/>
            </w:pPr>
            <w:r>
              <w:rPr>
                <w:rFonts w:hint="eastAsia" w:ascii="宋体" w:hAnsi="宋体"/>
                <w:sz w:val="16"/>
                <w:lang w:eastAsia="zh-CN"/>
              </w:rPr>
              <w:t>截至</w:t>
            </w:r>
            <w:r>
              <w:rPr>
                <w:rFonts w:ascii="宋体" w:hAnsi="宋体" w:eastAsia="宋体"/>
                <w:sz w:val="16"/>
              </w:rPr>
              <w:t>2024年12月31日，已使用项目资金4418.19万元，用于支持兵团产业发展，为完成第二段工作支付次数1次，项目成本4418.19万元，资金使用合规率100%，项目完成及时率100%，通过实施本项目，促进了兵团分区企业的产业拓展，受益人员满意度达到了100%。</w:t>
            </w:r>
          </w:p>
        </w:tc>
      </w:tr>
      <w:tr w14:paraId="784B5D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CCA3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D7FF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7E93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7677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4992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3018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AE4A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EDEA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B24A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DABA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55F1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2239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A0789">
            <w:pPr>
              <w:jc w:val="center"/>
            </w:pPr>
            <w:r>
              <w:rPr>
                <w:rFonts w:ascii="宋体" w:hAnsi="宋体" w:eastAsia="宋体"/>
                <w:sz w:val="16"/>
              </w:rPr>
              <w:t>偏差原因分析及改进措施</w:t>
            </w:r>
          </w:p>
        </w:tc>
      </w:tr>
      <w:tr w14:paraId="2F439A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CF3D9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0029A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7989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03AEC">
            <w:pPr>
              <w:jc w:val="center"/>
            </w:pPr>
            <w:r>
              <w:rPr>
                <w:rFonts w:ascii="宋体" w:hAnsi="宋体" w:eastAsia="宋体"/>
                <w:sz w:val="16"/>
              </w:rPr>
              <w:t>为完成第二段工作支付次数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3510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B06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BEE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9FEF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AF0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36D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182E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650A1">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2CD27">
            <w:pPr>
              <w:jc w:val="center"/>
            </w:pPr>
          </w:p>
        </w:tc>
      </w:tr>
      <w:tr w14:paraId="3D7884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DDB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0A2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EC32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F7737">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466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26E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7F7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5A38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D26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F06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382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1EDF1">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C58D3">
            <w:pPr>
              <w:jc w:val="center"/>
            </w:pPr>
          </w:p>
        </w:tc>
      </w:tr>
      <w:tr w14:paraId="4B54C6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51C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065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51A4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A306D">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218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A32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659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E0F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666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303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A94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FE3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5FB54">
            <w:pPr>
              <w:jc w:val="center"/>
            </w:pPr>
          </w:p>
        </w:tc>
      </w:tr>
      <w:tr w14:paraId="4C46B5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D412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AF35F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F30CC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97555">
            <w:pPr>
              <w:jc w:val="center"/>
            </w:pPr>
            <w:r>
              <w:rPr>
                <w:rFonts w:ascii="宋体" w:hAnsi="宋体" w:eastAsia="宋体"/>
                <w:sz w:val="16"/>
              </w:rPr>
              <w:t>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4BBAF">
            <w:pPr>
              <w:jc w:val="center"/>
            </w:pPr>
            <w:r>
              <w:rPr>
                <w:rFonts w:ascii="宋体" w:hAnsi="宋体" w:eastAsia="宋体"/>
                <w:sz w:val="16"/>
              </w:rPr>
              <w:t>&lt;=4418.19万元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39B2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7C0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903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F7B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755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08E4E">
            <w:pPr>
              <w:jc w:val="center"/>
            </w:pPr>
            <w:r>
              <w:rPr>
                <w:rFonts w:ascii="宋体" w:hAnsi="宋体" w:eastAsia="宋体"/>
                <w:sz w:val="16"/>
              </w:rPr>
              <w:t>=4418.19万元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D76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3CBD2">
            <w:pPr>
              <w:jc w:val="center"/>
            </w:pPr>
          </w:p>
        </w:tc>
      </w:tr>
      <w:tr w14:paraId="1B0E34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E45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AE5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5FE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C8CA3">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29354">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FBD0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D33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083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B55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84C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6E9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D0A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C0B15">
            <w:pPr>
              <w:jc w:val="center"/>
            </w:pPr>
          </w:p>
        </w:tc>
      </w:tr>
      <w:tr w14:paraId="18477F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6A6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E86F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FF83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91F21">
            <w:pPr>
              <w:jc w:val="center"/>
            </w:pPr>
            <w:r>
              <w:rPr>
                <w:rFonts w:ascii="宋体" w:hAnsi="宋体" w:eastAsia="宋体"/>
                <w:sz w:val="16"/>
              </w:rPr>
              <w:t>促进兵团分区企业的产业拓展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8EFC5">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603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AA3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560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EBA9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D92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E4B69">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28D4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3A4A3">
            <w:pPr>
              <w:jc w:val="center"/>
            </w:pPr>
          </w:p>
        </w:tc>
      </w:tr>
      <w:tr w14:paraId="67BD57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3E2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AC6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5BDE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8B8C9">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A163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EDC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6BA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171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032B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448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BCC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D07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A5EF1">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492FB0B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FA57D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3D55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0F7D6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82CB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9337D90"/>
        </w:tc>
      </w:tr>
    </w:tbl>
    <w:p w14:paraId="1F4B1CFF">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776"/>
        <w:gridCol w:w="625"/>
        <w:gridCol w:w="625"/>
        <w:gridCol w:w="627"/>
        <w:gridCol w:w="625"/>
        <w:gridCol w:w="625"/>
        <w:gridCol w:w="776"/>
        <w:gridCol w:w="632"/>
        <w:gridCol w:w="616"/>
        <w:gridCol w:w="632"/>
      </w:tblGrid>
      <w:tr w14:paraId="2901221A">
        <w:tblPrEx>
          <w:tblCellMar>
            <w:top w:w="0" w:type="dxa"/>
            <w:left w:w="108" w:type="dxa"/>
            <w:bottom w:w="0" w:type="dxa"/>
            <w:right w:w="108" w:type="dxa"/>
          </w:tblCellMar>
        </w:tblPrEx>
        <w:tc>
          <w:tcPr>
            <w:tcW w:w="8848" w:type="dxa"/>
            <w:gridSpan w:val="14"/>
            <w:vAlign w:val="center"/>
          </w:tcPr>
          <w:p w14:paraId="3FDDB1D0">
            <w:pPr>
              <w:jc w:val="center"/>
            </w:pPr>
            <w:r>
              <w:rPr>
                <w:rFonts w:ascii="宋体" w:hAnsi="宋体" w:eastAsia="宋体"/>
                <w:sz w:val="24"/>
              </w:rPr>
              <w:t>项目支出绩效自评表</w:t>
            </w:r>
          </w:p>
        </w:tc>
      </w:tr>
      <w:tr w14:paraId="774FEFDD">
        <w:tblPrEx>
          <w:tblCellMar>
            <w:top w:w="0" w:type="dxa"/>
            <w:left w:w="108" w:type="dxa"/>
            <w:bottom w:w="0" w:type="dxa"/>
            <w:right w:w="108" w:type="dxa"/>
          </w:tblCellMar>
        </w:tblPrEx>
        <w:tc>
          <w:tcPr>
            <w:tcW w:w="8848" w:type="dxa"/>
            <w:gridSpan w:val="14"/>
            <w:vAlign w:val="center"/>
          </w:tcPr>
          <w:p w14:paraId="10292D7D">
            <w:pPr>
              <w:jc w:val="center"/>
            </w:pPr>
            <w:r>
              <w:rPr>
                <w:rFonts w:ascii="宋体" w:hAnsi="宋体" w:eastAsia="宋体"/>
                <w:sz w:val="24"/>
              </w:rPr>
              <w:t>(2024年度)</w:t>
            </w:r>
          </w:p>
        </w:tc>
      </w:tr>
      <w:tr w14:paraId="4C6DB6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8698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AF8DE9">
            <w:pPr>
              <w:jc w:val="center"/>
            </w:pPr>
            <w:r>
              <w:rPr>
                <w:rFonts w:ascii="宋体" w:hAnsi="宋体" w:eastAsia="宋体"/>
                <w:sz w:val="16"/>
              </w:rPr>
              <w:t>喀什经济开发区城东金融贸易区2024年精细化提升项目</w:t>
            </w:r>
          </w:p>
        </w:tc>
      </w:tr>
      <w:tr w14:paraId="44DD13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B63B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9B9273">
            <w:pPr>
              <w:jc w:val="center"/>
            </w:pPr>
            <w:r>
              <w:rPr>
                <w:rFonts w:ascii="宋体" w:hAnsi="宋体" w:eastAsia="宋体"/>
                <w:sz w:val="16"/>
              </w:rPr>
              <w:t>城东金融贸易区管理服务中心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DBCE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795422">
            <w:pPr>
              <w:jc w:val="center"/>
            </w:pPr>
            <w:r>
              <w:rPr>
                <w:rFonts w:ascii="宋体" w:hAnsi="宋体" w:eastAsia="宋体"/>
                <w:sz w:val="16"/>
              </w:rPr>
              <w:t>城东金融贸易区管理服务中心</w:t>
            </w:r>
          </w:p>
        </w:tc>
      </w:tr>
      <w:tr w14:paraId="0C8277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4B664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5F72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857B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0352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B2E7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3C55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54BF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D5B72">
            <w:pPr>
              <w:jc w:val="center"/>
            </w:pPr>
            <w:r>
              <w:rPr>
                <w:rFonts w:ascii="宋体" w:hAnsi="宋体" w:eastAsia="宋体"/>
                <w:sz w:val="16"/>
              </w:rPr>
              <w:t>得分</w:t>
            </w:r>
          </w:p>
        </w:tc>
      </w:tr>
      <w:tr w14:paraId="688B7F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BFE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9B33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5C8B7">
            <w:pPr>
              <w:jc w:val="center"/>
            </w:pPr>
            <w:r>
              <w:rPr>
                <w:rFonts w:ascii="宋体" w:hAnsi="宋体" w:eastAsia="宋体"/>
                <w:sz w:val="16"/>
              </w:rPr>
              <w:t>226.00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64E7A">
            <w:pPr>
              <w:jc w:val="center"/>
            </w:pPr>
            <w:r>
              <w:rPr>
                <w:rFonts w:ascii="宋体" w:hAnsi="宋体" w:eastAsia="宋体"/>
                <w:sz w:val="16"/>
              </w:rPr>
              <w:t>211.27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9FF59">
            <w:pPr>
              <w:jc w:val="center"/>
            </w:pPr>
            <w:r>
              <w:rPr>
                <w:rFonts w:ascii="宋体" w:hAnsi="宋体" w:eastAsia="宋体"/>
                <w:sz w:val="16"/>
              </w:rPr>
              <w:t>211.27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023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D6AF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27D09">
            <w:pPr>
              <w:jc w:val="center"/>
            </w:pPr>
            <w:r>
              <w:rPr>
                <w:rFonts w:ascii="宋体" w:hAnsi="宋体" w:eastAsia="宋体"/>
                <w:sz w:val="16"/>
              </w:rPr>
              <w:t>10.00分</w:t>
            </w:r>
          </w:p>
        </w:tc>
      </w:tr>
      <w:tr w14:paraId="4DD795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FF3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7175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17334">
            <w:pPr>
              <w:jc w:val="center"/>
            </w:pPr>
            <w:r>
              <w:rPr>
                <w:rFonts w:ascii="宋体" w:hAnsi="宋体" w:eastAsia="宋体"/>
                <w:sz w:val="16"/>
              </w:rPr>
              <w:t>226.00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E2BB8">
            <w:pPr>
              <w:jc w:val="center"/>
            </w:pPr>
            <w:r>
              <w:rPr>
                <w:rFonts w:ascii="宋体" w:hAnsi="宋体" w:eastAsia="宋体"/>
                <w:sz w:val="16"/>
              </w:rPr>
              <w:t>211.27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B35FE">
            <w:pPr>
              <w:jc w:val="center"/>
            </w:pPr>
            <w:r>
              <w:rPr>
                <w:rFonts w:ascii="宋体" w:hAnsi="宋体" w:eastAsia="宋体"/>
                <w:sz w:val="16"/>
              </w:rPr>
              <w:t>211.27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FF2B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B80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89C9D">
            <w:pPr>
              <w:jc w:val="center"/>
            </w:pPr>
            <w:r>
              <w:rPr>
                <w:rFonts w:ascii="宋体" w:hAnsi="宋体" w:eastAsia="宋体"/>
                <w:sz w:val="16"/>
              </w:rPr>
              <w:t>—</w:t>
            </w:r>
          </w:p>
        </w:tc>
      </w:tr>
      <w:tr w14:paraId="2BB3C9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F6C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D968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F12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8CA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4B8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51C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D89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94626">
            <w:pPr>
              <w:jc w:val="center"/>
            </w:pPr>
            <w:r>
              <w:rPr>
                <w:rFonts w:ascii="宋体" w:hAnsi="宋体" w:eastAsia="宋体"/>
                <w:sz w:val="16"/>
              </w:rPr>
              <w:t>—</w:t>
            </w:r>
          </w:p>
        </w:tc>
      </w:tr>
      <w:tr w14:paraId="557C35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8C219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9CB59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91DB03">
            <w:pPr>
              <w:jc w:val="center"/>
            </w:pPr>
            <w:r>
              <w:rPr>
                <w:rFonts w:ascii="宋体" w:hAnsi="宋体" w:eastAsia="宋体"/>
                <w:sz w:val="16"/>
              </w:rPr>
              <w:t>实际完成情况</w:t>
            </w:r>
          </w:p>
        </w:tc>
      </w:tr>
      <w:tr w14:paraId="31B0A1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05CD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1FE406">
            <w:pPr>
              <w:jc w:val="both"/>
            </w:pPr>
            <w:r>
              <w:rPr>
                <w:rFonts w:ascii="宋体" w:hAnsi="宋体" w:eastAsia="宋体"/>
                <w:sz w:val="16"/>
              </w:rPr>
              <w:t>总投资211.27万元，改造城东金融贸易区市政公共设施，提升开发区营商环境。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7B1A3A">
            <w:pPr>
              <w:jc w:val="both"/>
            </w:pPr>
            <w:r>
              <w:rPr>
                <w:rFonts w:hint="eastAsia" w:ascii="宋体" w:hAnsi="宋体"/>
                <w:sz w:val="16"/>
                <w:lang w:eastAsia="zh-CN"/>
              </w:rPr>
              <w:t>截至</w:t>
            </w:r>
            <w:r>
              <w:rPr>
                <w:rFonts w:ascii="宋体" w:hAnsi="宋体" w:eastAsia="宋体"/>
                <w:sz w:val="16"/>
              </w:rPr>
              <w:t>2024年12月31日，项目总投资211.27万元，已执行211.27万元，执行率100%，主要用于更换路沿石长度10670米，支付购买路沿石成本200万元，支付安装成本11.27万元，项目验收通过率100%，项目按期完成率100%，实施该项目提升了老化公共基础设施，群众满意度达到了100%。</w:t>
            </w:r>
          </w:p>
        </w:tc>
      </w:tr>
      <w:tr w14:paraId="2AE6A7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6805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6C82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5EE3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8EFC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27BD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F3AF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E8A0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7B0C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9E59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92CF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EAAB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E0BC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FD23E">
            <w:pPr>
              <w:jc w:val="center"/>
            </w:pPr>
            <w:r>
              <w:rPr>
                <w:rFonts w:ascii="宋体" w:hAnsi="宋体" w:eastAsia="宋体"/>
                <w:sz w:val="16"/>
              </w:rPr>
              <w:t>偏差原因分析及改进措施</w:t>
            </w:r>
          </w:p>
        </w:tc>
      </w:tr>
      <w:tr w14:paraId="1FBA56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DEB21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FD061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D8E6D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57591">
            <w:pPr>
              <w:jc w:val="center"/>
            </w:pPr>
            <w:r>
              <w:rPr>
                <w:rFonts w:ascii="宋体" w:hAnsi="宋体" w:eastAsia="宋体"/>
                <w:sz w:val="16"/>
              </w:rPr>
              <w:t>更换路沿石次数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F4D01">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CF3C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4B8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901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7EE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1134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1697D">
            <w:pPr>
              <w:jc w:val="center"/>
            </w:pPr>
            <w:r>
              <w:rPr>
                <w:rFonts w:ascii="宋体" w:hAnsi="宋体" w:eastAsia="宋体"/>
                <w:sz w:val="16"/>
              </w:rPr>
              <w:t>=211.27万元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B01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3F40F">
            <w:pPr>
              <w:jc w:val="center"/>
            </w:pPr>
          </w:p>
        </w:tc>
      </w:tr>
      <w:tr w14:paraId="3536CD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124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DF3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37A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3773F">
            <w:pPr>
              <w:jc w:val="center"/>
            </w:pPr>
            <w:r>
              <w:rPr>
                <w:rFonts w:ascii="宋体" w:hAnsi="宋体" w:eastAsia="宋体"/>
                <w:sz w:val="16"/>
              </w:rPr>
              <w:t>更换路沿石长度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49927">
            <w:pPr>
              <w:jc w:val="center"/>
            </w:pPr>
            <w:r>
              <w:rPr>
                <w:rFonts w:ascii="宋体" w:hAnsi="宋体" w:eastAsia="宋体"/>
                <w:sz w:val="16"/>
              </w:rPr>
              <w:t>=10670米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67E2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75D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955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CF8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0CE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89EAD">
            <w:pPr>
              <w:jc w:val="center"/>
            </w:pPr>
            <w:r>
              <w:rPr>
                <w:rFonts w:ascii="宋体" w:hAnsi="宋体" w:eastAsia="宋体"/>
                <w:sz w:val="16"/>
              </w:rPr>
              <w:t>=10670米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8DD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EC0D6">
            <w:pPr>
              <w:jc w:val="center"/>
            </w:pPr>
          </w:p>
        </w:tc>
      </w:tr>
      <w:tr w14:paraId="120516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CC2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980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685C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6742F">
            <w:pPr>
              <w:jc w:val="center"/>
            </w:pPr>
            <w:r>
              <w:rPr>
                <w:rFonts w:ascii="宋体" w:hAnsi="宋体" w:eastAsia="宋体"/>
                <w:sz w:val="16"/>
              </w:rPr>
              <w:t>项目验收通过率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D0C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B227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206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C78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206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445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F83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603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36349">
            <w:pPr>
              <w:jc w:val="center"/>
            </w:pPr>
          </w:p>
        </w:tc>
      </w:tr>
      <w:tr w14:paraId="43377B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1AE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080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45B0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52388">
            <w:pPr>
              <w:jc w:val="center"/>
            </w:pPr>
            <w:r>
              <w:rPr>
                <w:rFonts w:ascii="宋体" w:hAnsi="宋体" w:eastAsia="宋体"/>
                <w:sz w:val="16"/>
              </w:rPr>
              <w:t>项目按期完成率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67E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C4BC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880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233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A60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170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9F6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9A9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83EB6">
            <w:pPr>
              <w:jc w:val="center"/>
            </w:pPr>
          </w:p>
        </w:tc>
      </w:tr>
      <w:tr w14:paraId="18923C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9F24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82D91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16AF8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7B322">
            <w:pPr>
              <w:jc w:val="center"/>
            </w:pPr>
            <w:r>
              <w:rPr>
                <w:rFonts w:ascii="宋体" w:hAnsi="宋体" w:eastAsia="宋体"/>
                <w:sz w:val="16"/>
              </w:rPr>
              <w:t>购买路沿石成本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DC006">
            <w:pPr>
              <w:jc w:val="center"/>
            </w:pPr>
            <w:r>
              <w:rPr>
                <w:rFonts w:ascii="宋体" w:hAnsi="宋体" w:eastAsia="宋体"/>
                <w:sz w:val="16"/>
              </w:rPr>
              <w:t>&lt;=200万元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4249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E08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E96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480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6FF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1E488">
            <w:pPr>
              <w:jc w:val="center"/>
            </w:pPr>
            <w:r>
              <w:rPr>
                <w:rFonts w:ascii="宋体" w:hAnsi="宋体" w:eastAsia="宋体"/>
                <w:sz w:val="16"/>
              </w:rPr>
              <w: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D06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F4844">
            <w:pPr>
              <w:jc w:val="center"/>
            </w:pPr>
          </w:p>
        </w:tc>
      </w:tr>
      <w:tr w14:paraId="4FE231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F1E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D05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51D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F6F56">
            <w:pPr>
              <w:jc w:val="center"/>
            </w:pPr>
            <w:r>
              <w:rPr>
                <w:rFonts w:ascii="宋体" w:hAnsi="宋体" w:eastAsia="宋体"/>
                <w:sz w:val="16"/>
              </w:rPr>
              <w:t>安装成本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1AD06">
            <w:pPr>
              <w:jc w:val="center"/>
            </w:pPr>
            <w:r>
              <w:rPr>
                <w:rFonts w:ascii="宋体" w:hAnsi="宋体" w:eastAsia="宋体"/>
                <w:sz w:val="16"/>
              </w:rPr>
              <w:t>&lt;=11.27万元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6467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3A3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43B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97E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C8B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95F02">
            <w:pPr>
              <w:jc w:val="center"/>
            </w:pPr>
            <w:r>
              <w:rPr>
                <w:rFonts w:ascii="宋体" w:hAnsi="宋体" w:eastAsia="宋体"/>
                <w:sz w:val="16"/>
              </w:rPr>
              <w:t>=11.27万元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61B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0D43C">
            <w:pPr>
              <w:jc w:val="center"/>
            </w:pPr>
          </w:p>
        </w:tc>
      </w:tr>
      <w:tr w14:paraId="59D4E4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5EB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7AE9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DFE9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88957">
            <w:pPr>
              <w:jc w:val="center"/>
            </w:pPr>
            <w:r>
              <w:rPr>
                <w:rFonts w:ascii="宋体" w:hAnsi="宋体" w:eastAsia="宋体"/>
                <w:sz w:val="16"/>
              </w:rPr>
              <w:t>提升老化公共基础设施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48311">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C591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369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0F0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AD9A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E0F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F893D">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3252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EA609">
            <w:pPr>
              <w:jc w:val="center"/>
            </w:pPr>
          </w:p>
        </w:tc>
      </w:tr>
      <w:tr w14:paraId="6A7FA73E">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62D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7CC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0E1F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C0B8A">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E7BE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DBF3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193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565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ABDD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195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74C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A2B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23170">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7915EBD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8D8B9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516A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58279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1113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1F12F31"/>
        </w:tc>
      </w:tr>
    </w:tbl>
    <w:p w14:paraId="351C1F9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776"/>
        <w:gridCol w:w="632"/>
        <w:gridCol w:w="632"/>
        <w:gridCol w:w="632"/>
      </w:tblGrid>
      <w:tr w14:paraId="2BBEB052">
        <w:tblPrEx>
          <w:tblCellMar>
            <w:top w:w="0" w:type="dxa"/>
            <w:left w:w="108" w:type="dxa"/>
            <w:bottom w:w="0" w:type="dxa"/>
            <w:right w:w="108" w:type="dxa"/>
          </w:tblCellMar>
        </w:tblPrEx>
        <w:tc>
          <w:tcPr>
            <w:tcW w:w="8848" w:type="dxa"/>
            <w:gridSpan w:val="14"/>
            <w:vAlign w:val="center"/>
          </w:tcPr>
          <w:p w14:paraId="2DDB3D67">
            <w:pPr>
              <w:jc w:val="center"/>
            </w:pPr>
            <w:r>
              <w:rPr>
                <w:rFonts w:ascii="宋体" w:hAnsi="宋体" w:eastAsia="宋体"/>
                <w:sz w:val="24"/>
              </w:rPr>
              <w:t>项目支出绩效自评表</w:t>
            </w:r>
          </w:p>
        </w:tc>
      </w:tr>
      <w:tr w14:paraId="2326D3FC">
        <w:tblPrEx>
          <w:tblCellMar>
            <w:top w:w="0" w:type="dxa"/>
            <w:left w:w="108" w:type="dxa"/>
            <w:bottom w:w="0" w:type="dxa"/>
            <w:right w:w="108" w:type="dxa"/>
          </w:tblCellMar>
        </w:tblPrEx>
        <w:tc>
          <w:tcPr>
            <w:tcW w:w="8848" w:type="dxa"/>
            <w:gridSpan w:val="14"/>
            <w:vAlign w:val="center"/>
          </w:tcPr>
          <w:p w14:paraId="1A5B4961">
            <w:pPr>
              <w:jc w:val="center"/>
            </w:pPr>
            <w:r>
              <w:rPr>
                <w:rFonts w:ascii="宋体" w:hAnsi="宋体" w:eastAsia="宋体"/>
                <w:sz w:val="24"/>
              </w:rPr>
              <w:t>(2024年度)</w:t>
            </w:r>
          </w:p>
        </w:tc>
      </w:tr>
      <w:tr w14:paraId="584382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62ED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681E64">
            <w:pPr>
              <w:jc w:val="center"/>
            </w:pPr>
            <w:r>
              <w:rPr>
                <w:rFonts w:ascii="宋体" w:hAnsi="宋体" w:eastAsia="宋体"/>
                <w:sz w:val="16"/>
              </w:rPr>
              <w:t>城东中心项目前期费项目</w:t>
            </w:r>
          </w:p>
        </w:tc>
      </w:tr>
      <w:tr w14:paraId="64E032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9901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2F95A9">
            <w:pPr>
              <w:jc w:val="center"/>
            </w:pPr>
            <w:r>
              <w:rPr>
                <w:rFonts w:ascii="宋体" w:hAnsi="宋体" w:eastAsia="宋体"/>
                <w:sz w:val="16"/>
              </w:rPr>
              <w:t>城东金融贸易区管理服务中心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12E2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E8E3BC">
            <w:pPr>
              <w:jc w:val="center"/>
            </w:pPr>
            <w:r>
              <w:rPr>
                <w:rFonts w:ascii="宋体" w:hAnsi="宋体" w:eastAsia="宋体"/>
                <w:sz w:val="16"/>
              </w:rPr>
              <w:t>城东金融贸易区管理服务中心</w:t>
            </w:r>
          </w:p>
        </w:tc>
      </w:tr>
      <w:tr w14:paraId="026F2D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80571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7EFC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DB50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4450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262C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9B28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AB5B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5E3BB">
            <w:pPr>
              <w:jc w:val="center"/>
            </w:pPr>
            <w:r>
              <w:rPr>
                <w:rFonts w:ascii="宋体" w:hAnsi="宋体" w:eastAsia="宋体"/>
                <w:sz w:val="16"/>
              </w:rPr>
              <w:t>得分</w:t>
            </w:r>
          </w:p>
        </w:tc>
      </w:tr>
      <w:tr w14:paraId="775A46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18E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25AF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5D2BC">
            <w:pPr>
              <w:jc w:val="center"/>
            </w:pPr>
            <w:r>
              <w:rPr>
                <w:rFonts w:ascii="宋体" w:hAnsi="宋体" w:eastAsia="宋体"/>
                <w:sz w:val="16"/>
              </w:rPr>
              <w:t>302.00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634BB">
            <w:pPr>
              <w:jc w:val="center"/>
            </w:pPr>
            <w:r>
              <w:rPr>
                <w:rFonts w:ascii="宋体" w:hAnsi="宋体" w:eastAsia="宋体"/>
                <w:sz w:val="16"/>
              </w:rPr>
              <w:t>1,802.00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5CF96">
            <w:pPr>
              <w:jc w:val="center"/>
            </w:pPr>
            <w:r>
              <w:rPr>
                <w:rFonts w:ascii="宋体" w:hAnsi="宋体" w:eastAsia="宋体"/>
                <w:sz w:val="16"/>
              </w:rPr>
              <w:t>1,682.18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36E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16620">
            <w:pPr>
              <w:jc w:val="center"/>
            </w:pPr>
            <w:r>
              <w:rPr>
                <w:rFonts w:ascii="宋体" w:hAnsi="宋体" w:eastAsia="宋体"/>
                <w:sz w:val="16"/>
              </w:rPr>
              <w:t>93.4%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15B09">
            <w:pPr>
              <w:jc w:val="center"/>
            </w:pPr>
            <w:r>
              <w:rPr>
                <w:rFonts w:ascii="宋体" w:hAnsi="宋体" w:eastAsia="宋体"/>
                <w:sz w:val="16"/>
              </w:rPr>
              <w:t>8.34分</w:t>
            </w:r>
          </w:p>
        </w:tc>
      </w:tr>
      <w:tr w14:paraId="492087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2E7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8428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BAB01">
            <w:pPr>
              <w:jc w:val="center"/>
            </w:pPr>
            <w:r>
              <w:rPr>
                <w:rFonts w:ascii="宋体" w:hAnsi="宋体" w:eastAsia="宋体"/>
                <w:sz w:val="16"/>
              </w:rPr>
              <w:t>302.00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A2332">
            <w:pPr>
              <w:jc w:val="center"/>
            </w:pPr>
            <w:r>
              <w:rPr>
                <w:rFonts w:ascii="宋体" w:hAnsi="宋体" w:eastAsia="宋体"/>
                <w:sz w:val="16"/>
              </w:rPr>
              <w:t>1,802.00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E2964">
            <w:pPr>
              <w:jc w:val="center"/>
            </w:pPr>
            <w:r>
              <w:rPr>
                <w:rFonts w:ascii="宋体" w:hAnsi="宋体" w:eastAsia="宋体"/>
                <w:sz w:val="16"/>
              </w:rPr>
              <w:t>1,682.18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72F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11F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282AE">
            <w:pPr>
              <w:jc w:val="center"/>
            </w:pPr>
            <w:r>
              <w:rPr>
                <w:rFonts w:ascii="宋体" w:hAnsi="宋体" w:eastAsia="宋体"/>
                <w:sz w:val="16"/>
              </w:rPr>
              <w:t>—</w:t>
            </w:r>
          </w:p>
        </w:tc>
      </w:tr>
      <w:tr w14:paraId="39D431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1C5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BF9C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CCE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B66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5CA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541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853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B31EB">
            <w:pPr>
              <w:jc w:val="center"/>
            </w:pPr>
            <w:r>
              <w:rPr>
                <w:rFonts w:ascii="宋体" w:hAnsi="宋体" w:eastAsia="宋体"/>
                <w:sz w:val="16"/>
              </w:rPr>
              <w:t>—</w:t>
            </w:r>
          </w:p>
        </w:tc>
      </w:tr>
      <w:tr w14:paraId="237FE8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8FF64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02D29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AB9633">
            <w:pPr>
              <w:jc w:val="center"/>
            </w:pPr>
            <w:r>
              <w:rPr>
                <w:rFonts w:ascii="宋体" w:hAnsi="宋体" w:eastAsia="宋体"/>
                <w:sz w:val="16"/>
              </w:rPr>
              <w:t>实际完成情况</w:t>
            </w:r>
          </w:p>
        </w:tc>
      </w:tr>
      <w:tr w14:paraId="612064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1022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8CC7C0">
            <w:pPr>
              <w:jc w:val="both"/>
            </w:pPr>
            <w:r>
              <w:rPr>
                <w:rFonts w:ascii="宋体" w:hAnsi="宋体" w:eastAsia="宋体"/>
                <w:sz w:val="16"/>
              </w:rPr>
              <w:t>项目总投资1802万元，主要保障用于2个项目前期费。1、国家级喀什经济开发区高新技术产业园标准厂房建设项目、2、喀什经济开发区“一带一路”中医药产业园基础设施建设项目。用于加强产业平台开发建设，营造良好的营商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D7653B">
            <w:pPr>
              <w:jc w:val="both"/>
            </w:pPr>
            <w:r>
              <w:rPr>
                <w:rFonts w:hint="eastAsia" w:ascii="宋体" w:hAnsi="宋体"/>
                <w:sz w:val="16"/>
                <w:lang w:eastAsia="zh-CN"/>
              </w:rPr>
              <w:t>截至</w:t>
            </w:r>
            <w:r>
              <w:rPr>
                <w:rFonts w:ascii="宋体" w:hAnsi="宋体" w:eastAsia="宋体"/>
                <w:sz w:val="16"/>
              </w:rPr>
              <w:t>2024年12月31日，该项目总投资1,802万元，已执行1682.18万元，执行率93.3%，主要用于城市配套保障面积10万平方米，项目完成数量2个，支付土地购买金额979.18万元，支付城市配套费703万元，提升了企业入驻率，群众满意度达到了100%。</w:t>
            </w:r>
          </w:p>
        </w:tc>
      </w:tr>
      <w:tr w14:paraId="107223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8345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6D62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CF3A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9763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7A76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FA35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DF87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D51C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C79B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9B9D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4111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5B7B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5ED13">
            <w:pPr>
              <w:jc w:val="center"/>
            </w:pPr>
            <w:r>
              <w:rPr>
                <w:rFonts w:ascii="宋体" w:hAnsi="宋体" w:eastAsia="宋体"/>
                <w:sz w:val="16"/>
              </w:rPr>
              <w:t>偏差原因分析及改进措施</w:t>
            </w:r>
          </w:p>
        </w:tc>
      </w:tr>
      <w:tr w14:paraId="3FA0C0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FC981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EB042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90852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C5FC8">
            <w:pPr>
              <w:jc w:val="center"/>
            </w:pPr>
            <w:r>
              <w:rPr>
                <w:rFonts w:ascii="宋体" w:hAnsi="宋体" w:eastAsia="宋体"/>
                <w:sz w:val="16"/>
              </w:rPr>
              <w:t>前期配套保障面积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671F7">
            <w:pPr>
              <w:jc w:val="center"/>
            </w:pPr>
            <w:r>
              <w:rPr>
                <w:rFonts w:ascii="宋体" w:hAnsi="宋体" w:eastAsia="宋体"/>
                <w:sz w:val="16"/>
              </w:rPr>
              <w:t>&gt;=10万平方米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5C1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5B5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5BC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F0C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65A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202C1">
            <w:pPr>
              <w:jc w:val="center"/>
            </w:pPr>
            <w:r>
              <w:rPr>
                <w:rFonts w:ascii="宋体" w:hAnsi="宋体" w:eastAsia="宋体"/>
                <w:sz w:val="16"/>
              </w:rPr>
              <w:t>=10万平方米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EDD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E639B">
            <w:pPr>
              <w:jc w:val="center"/>
            </w:pPr>
          </w:p>
        </w:tc>
      </w:tr>
      <w:tr w14:paraId="29931A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D09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409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ABD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5F4E4">
            <w:pPr>
              <w:jc w:val="center"/>
            </w:pPr>
            <w:r>
              <w:rPr>
                <w:rFonts w:ascii="宋体" w:hAnsi="宋体" w:eastAsia="宋体"/>
                <w:sz w:val="16"/>
              </w:rPr>
              <w:t>项目完成数量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E3F38">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9FB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D31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485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079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2E0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9CAFC">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6AB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04F7C">
            <w:pPr>
              <w:jc w:val="center"/>
            </w:pPr>
          </w:p>
        </w:tc>
      </w:tr>
      <w:tr w14:paraId="7F59D8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523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8CE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72B2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14966">
            <w:pPr>
              <w:jc w:val="center"/>
            </w:pPr>
            <w:r>
              <w:rPr>
                <w:rFonts w:ascii="宋体" w:hAnsi="宋体" w:eastAsia="宋体"/>
                <w:sz w:val="16"/>
              </w:rPr>
              <w:t>项目管理合格率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F8D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1A0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5A0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584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6FDA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58B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A43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A00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87FD1">
            <w:pPr>
              <w:jc w:val="center"/>
            </w:pPr>
          </w:p>
        </w:tc>
      </w:tr>
      <w:tr w14:paraId="1DFA15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EEA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68F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CE28A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FC37B">
            <w:pPr>
              <w:jc w:val="center"/>
            </w:pPr>
            <w:r>
              <w:rPr>
                <w:rFonts w:ascii="宋体" w:hAnsi="宋体" w:eastAsia="宋体"/>
                <w:sz w:val="16"/>
              </w:rPr>
              <w:t>项目开工及时率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517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014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70A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A92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5FFD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4A8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64F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904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B0B1B">
            <w:pPr>
              <w:jc w:val="center"/>
            </w:pPr>
          </w:p>
        </w:tc>
      </w:tr>
      <w:tr w14:paraId="05A7C2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8FE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7BC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6C4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27A0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0AE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2EF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69A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FDA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928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B0F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667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A6B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6B56D">
            <w:pPr>
              <w:jc w:val="center"/>
            </w:pPr>
          </w:p>
        </w:tc>
      </w:tr>
      <w:tr w14:paraId="288A3D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D6C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AEF41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BCDE9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331B8">
            <w:pPr>
              <w:jc w:val="center"/>
            </w:pPr>
            <w:r>
              <w:rPr>
                <w:rFonts w:ascii="宋体" w:hAnsi="宋体" w:eastAsia="宋体"/>
                <w:sz w:val="16"/>
              </w:rPr>
              <w:t>土地购买金额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94DE4">
            <w:pPr>
              <w:jc w:val="center"/>
            </w:pPr>
            <w:r>
              <w:rPr>
                <w:rFonts w:ascii="宋体" w:hAnsi="宋体" w:eastAsia="宋体"/>
                <w:sz w:val="16"/>
              </w:rPr>
              <w:t>&lt;=1100万元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9FBF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F3D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F37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266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612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E0251">
            <w:pPr>
              <w:jc w:val="center"/>
            </w:pPr>
            <w:r>
              <w:rPr>
                <w:rFonts w:ascii="宋体" w:hAnsi="宋体" w:eastAsia="宋体"/>
                <w:sz w:val="16"/>
              </w:rPr>
              <w:t>=979.18万元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A2F54">
            <w:pPr>
              <w:jc w:val="center"/>
            </w:pPr>
            <w:r>
              <w:rPr>
                <w:rFonts w:ascii="宋体" w:hAnsi="宋体" w:eastAsia="宋体"/>
                <w:sz w:val="16"/>
              </w:rPr>
              <w:t>3.63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C3984">
            <w:pPr>
              <w:jc w:val="center"/>
            </w:pPr>
            <w:r>
              <w:rPr>
                <w:rFonts w:ascii="宋体" w:hAnsi="宋体" w:eastAsia="宋体"/>
                <w:sz w:val="16"/>
              </w:rPr>
              <w:t>项目初期，对土地购买金额的实际支出金额的测算存在偏差，导致预期值设置偏低。改进措施：深入分析，充分了解土地价格的变化，更好地把握和预测。</w:t>
            </w:r>
          </w:p>
        </w:tc>
      </w:tr>
      <w:tr w14:paraId="781750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4A8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721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1F3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805AF">
            <w:pPr>
              <w:jc w:val="center"/>
            </w:pPr>
            <w:r>
              <w:rPr>
                <w:rFonts w:ascii="宋体" w:hAnsi="宋体" w:eastAsia="宋体"/>
                <w:sz w:val="16"/>
              </w:rPr>
              <w:t>城市配套费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7C892">
            <w:pPr>
              <w:jc w:val="center"/>
            </w:pPr>
            <w:r>
              <w:rPr>
                <w:rFonts w:ascii="宋体" w:hAnsi="宋体" w:eastAsia="宋体"/>
                <w:sz w:val="16"/>
              </w:rPr>
              <w:t>&gt;=703万元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CE48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694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9E9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A1F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6DE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4E305">
            <w:pPr>
              <w:jc w:val="center"/>
            </w:pPr>
            <w:r>
              <w:rPr>
                <w:rFonts w:ascii="宋体" w:hAnsi="宋体" w:eastAsia="宋体"/>
                <w:sz w:val="16"/>
              </w:rPr>
              <w:t>=703万元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3D43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36FA6">
            <w:pPr>
              <w:jc w:val="center"/>
            </w:pPr>
          </w:p>
        </w:tc>
      </w:tr>
      <w:tr w14:paraId="3B758A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A8B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88F3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01C5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F8879">
            <w:pPr>
              <w:jc w:val="center"/>
            </w:pPr>
            <w:r>
              <w:rPr>
                <w:rFonts w:ascii="宋体" w:hAnsi="宋体" w:eastAsia="宋体"/>
                <w:sz w:val="16"/>
              </w:rPr>
              <w:t>提升企业入驻率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E3542">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209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4DF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A680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FE7B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8FA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2111F">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54BE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D37E1">
            <w:pPr>
              <w:jc w:val="center"/>
            </w:pPr>
          </w:p>
        </w:tc>
      </w:tr>
      <w:tr w14:paraId="418296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75A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161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51F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C0024">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6791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5D4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5F8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FE3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03B3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39B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68E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E4D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E8365">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4218896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78760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54A5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CF27D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F29D8">
            <w:pPr>
              <w:jc w:val="center"/>
            </w:pPr>
            <w:r>
              <w:rPr>
                <w:rFonts w:ascii="宋体" w:hAnsi="宋体" w:eastAsia="宋体"/>
                <w:sz w:val="16"/>
              </w:rPr>
              <w:t>96.97分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C372F2D"/>
        </w:tc>
      </w:tr>
    </w:tbl>
    <w:p w14:paraId="3750D5B2">
      <w:r>
        <w:br w:type="page"/>
      </w:r>
    </w:p>
    <w:tbl>
      <w:tblPr>
        <w:tblStyle w:val="9"/>
        <w:tblW w:w="0" w:type="auto"/>
        <w:tblInd w:w="0" w:type="dxa"/>
        <w:tblLayout w:type="autofit"/>
        <w:tblCellMar>
          <w:top w:w="0" w:type="dxa"/>
          <w:left w:w="108" w:type="dxa"/>
          <w:bottom w:w="0" w:type="dxa"/>
          <w:right w:w="108" w:type="dxa"/>
        </w:tblCellMar>
      </w:tblPr>
      <w:tblGrid>
        <w:gridCol w:w="625"/>
        <w:gridCol w:w="616"/>
        <w:gridCol w:w="617"/>
        <w:gridCol w:w="617"/>
        <w:gridCol w:w="856"/>
        <w:gridCol w:w="617"/>
        <w:gridCol w:w="617"/>
        <w:gridCol w:w="622"/>
        <w:gridCol w:w="617"/>
        <w:gridCol w:w="617"/>
        <w:gridCol w:w="776"/>
        <w:gridCol w:w="632"/>
        <w:gridCol w:w="599"/>
        <w:gridCol w:w="632"/>
      </w:tblGrid>
      <w:tr w14:paraId="6B067952">
        <w:tblPrEx>
          <w:tblCellMar>
            <w:top w:w="0" w:type="dxa"/>
            <w:left w:w="108" w:type="dxa"/>
            <w:bottom w:w="0" w:type="dxa"/>
            <w:right w:w="108" w:type="dxa"/>
          </w:tblCellMar>
        </w:tblPrEx>
        <w:tc>
          <w:tcPr>
            <w:tcW w:w="8848" w:type="dxa"/>
            <w:gridSpan w:val="14"/>
            <w:vAlign w:val="center"/>
          </w:tcPr>
          <w:p w14:paraId="42B21900">
            <w:pPr>
              <w:jc w:val="center"/>
            </w:pPr>
            <w:r>
              <w:rPr>
                <w:rFonts w:ascii="宋体" w:hAnsi="宋体" w:eastAsia="宋体"/>
                <w:sz w:val="24"/>
              </w:rPr>
              <w:t>项目支出绩效自评表</w:t>
            </w:r>
          </w:p>
        </w:tc>
      </w:tr>
      <w:tr w14:paraId="14EBC13F">
        <w:tblPrEx>
          <w:tblCellMar>
            <w:top w:w="0" w:type="dxa"/>
            <w:left w:w="108" w:type="dxa"/>
            <w:bottom w:w="0" w:type="dxa"/>
            <w:right w:w="108" w:type="dxa"/>
          </w:tblCellMar>
        </w:tblPrEx>
        <w:tc>
          <w:tcPr>
            <w:tcW w:w="8848" w:type="dxa"/>
            <w:gridSpan w:val="14"/>
            <w:vAlign w:val="center"/>
          </w:tcPr>
          <w:p w14:paraId="160A1F33">
            <w:pPr>
              <w:jc w:val="center"/>
            </w:pPr>
            <w:r>
              <w:rPr>
                <w:rFonts w:ascii="宋体" w:hAnsi="宋体" w:eastAsia="宋体"/>
                <w:sz w:val="24"/>
              </w:rPr>
              <w:t>(2024年度)</w:t>
            </w:r>
          </w:p>
        </w:tc>
      </w:tr>
      <w:tr w14:paraId="117F76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C008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08FEF4">
            <w:pPr>
              <w:jc w:val="center"/>
            </w:pPr>
            <w:r>
              <w:rPr>
                <w:rFonts w:ascii="宋体" w:hAnsi="宋体" w:eastAsia="宋体"/>
                <w:sz w:val="16"/>
              </w:rPr>
              <w:t>城东市政维修服务项目</w:t>
            </w:r>
          </w:p>
        </w:tc>
      </w:tr>
      <w:tr w14:paraId="6AA272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CF50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FF885A">
            <w:pPr>
              <w:jc w:val="center"/>
            </w:pPr>
            <w:r>
              <w:rPr>
                <w:rFonts w:ascii="宋体" w:hAnsi="宋体" w:eastAsia="宋体"/>
                <w:sz w:val="16"/>
              </w:rPr>
              <w:t>城东金融贸易区管理服务中心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0779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DEAB8B">
            <w:pPr>
              <w:jc w:val="center"/>
            </w:pPr>
            <w:r>
              <w:rPr>
                <w:rFonts w:ascii="宋体" w:hAnsi="宋体" w:eastAsia="宋体"/>
                <w:sz w:val="16"/>
              </w:rPr>
              <w:t>城东金融贸易区管理服务中心</w:t>
            </w:r>
          </w:p>
        </w:tc>
      </w:tr>
      <w:tr w14:paraId="51C793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53857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8798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CE3C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3151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E25B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AB1B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59FA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4A78B">
            <w:pPr>
              <w:jc w:val="center"/>
            </w:pPr>
            <w:r>
              <w:rPr>
                <w:rFonts w:ascii="宋体" w:hAnsi="宋体" w:eastAsia="宋体"/>
                <w:sz w:val="16"/>
              </w:rPr>
              <w:t>得分</w:t>
            </w:r>
          </w:p>
        </w:tc>
      </w:tr>
      <w:tr w14:paraId="6B9343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B75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ACBA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793F9">
            <w:pPr>
              <w:jc w:val="center"/>
            </w:pPr>
            <w:r>
              <w:rPr>
                <w:rFonts w:ascii="宋体" w:hAnsi="宋体" w:eastAsia="宋体"/>
                <w:sz w:val="16"/>
              </w:rPr>
              <w:t>927.74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DFB5C">
            <w:pPr>
              <w:jc w:val="center"/>
            </w:pPr>
            <w:r>
              <w:rPr>
                <w:rFonts w:ascii="宋体" w:hAnsi="宋体" w:eastAsia="宋体"/>
                <w:sz w:val="16"/>
              </w:rPr>
              <w:t>927.74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4C435">
            <w:pPr>
              <w:jc w:val="center"/>
            </w:pPr>
            <w:r>
              <w:rPr>
                <w:rFonts w:ascii="宋体" w:hAnsi="宋体" w:eastAsia="宋体"/>
                <w:sz w:val="16"/>
              </w:rPr>
              <w:t>927.74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CED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ABE7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99DA5">
            <w:pPr>
              <w:jc w:val="center"/>
            </w:pPr>
            <w:r>
              <w:rPr>
                <w:rFonts w:ascii="宋体" w:hAnsi="宋体" w:eastAsia="宋体"/>
                <w:sz w:val="16"/>
              </w:rPr>
              <w:t>10.00分</w:t>
            </w:r>
          </w:p>
        </w:tc>
      </w:tr>
      <w:tr w14:paraId="64438B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5A8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0873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B4542">
            <w:pPr>
              <w:jc w:val="center"/>
            </w:pPr>
            <w:r>
              <w:rPr>
                <w:rFonts w:ascii="宋体" w:hAnsi="宋体" w:eastAsia="宋体"/>
                <w:sz w:val="16"/>
              </w:rPr>
              <w:t>927.74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B6902">
            <w:pPr>
              <w:jc w:val="center"/>
            </w:pPr>
            <w:r>
              <w:rPr>
                <w:rFonts w:ascii="宋体" w:hAnsi="宋体" w:eastAsia="宋体"/>
                <w:sz w:val="16"/>
              </w:rPr>
              <w:t>927.74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60C8A">
            <w:pPr>
              <w:jc w:val="center"/>
            </w:pPr>
            <w:r>
              <w:rPr>
                <w:rFonts w:ascii="宋体" w:hAnsi="宋体" w:eastAsia="宋体"/>
                <w:sz w:val="16"/>
              </w:rPr>
              <w:t>927.74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A22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820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06085">
            <w:pPr>
              <w:jc w:val="center"/>
            </w:pPr>
            <w:r>
              <w:rPr>
                <w:rFonts w:ascii="宋体" w:hAnsi="宋体" w:eastAsia="宋体"/>
                <w:sz w:val="16"/>
              </w:rPr>
              <w:t>—</w:t>
            </w:r>
          </w:p>
        </w:tc>
      </w:tr>
      <w:tr w14:paraId="60563F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DD1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1903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446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430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835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C03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CC8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0412C">
            <w:pPr>
              <w:jc w:val="center"/>
            </w:pPr>
            <w:r>
              <w:rPr>
                <w:rFonts w:ascii="宋体" w:hAnsi="宋体" w:eastAsia="宋体"/>
                <w:sz w:val="16"/>
              </w:rPr>
              <w:t>—</w:t>
            </w:r>
          </w:p>
        </w:tc>
      </w:tr>
      <w:tr w14:paraId="45CAAF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85B3D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2E0FC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BFFDC5">
            <w:pPr>
              <w:jc w:val="center"/>
            </w:pPr>
            <w:r>
              <w:rPr>
                <w:rFonts w:ascii="宋体" w:hAnsi="宋体" w:eastAsia="宋体"/>
                <w:sz w:val="16"/>
              </w:rPr>
              <w:t>实际完成情况</w:t>
            </w:r>
          </w:p>
        </w:tc>
      </w:tr>
      <w:tr w14:paraId="368411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F3C4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988D53">
            <w:pPr>
              <w:jc w:val="both"/>
            </w:pPr>
            <w:r>
              <w:rPr>
                <w:rFonts w:ascii="宋体" w:hAnsi="宋体" w:eastAsia="宋体"/>
                <w:sz w:val="16"/>
              </w:rPr>
              <w:t>项目总投资927.74万元，主要用于维修道路面积5000平方米，维修路灯50盏，通过实施本项目，对于改善沿线居民出行条件，提高沿线人民群众的生活水平具有重要作用。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1A89CC">
            <w:pPr>
              <w:jc w:val="both"/>
            </w:pPr>
            <w:r>
              <w:rPr>
                <w:rFonts w:hint="eastAsia" w:ascii="宋体" w:hAnsi="宋体"/>
                <w:sz w:val="16"/>
                <w:lang w:eastAsia="zh-CN"/>
              </w:rPr>
              <w:t>截至</w:t>
            </w:r>
            <w:r>
              <w:rPr>
                <w:rFonts w:ascii="宋体" w:hAnsi="宋体" w:eastAsia="宋体"/>
                <w:sz w:val="16"/>
              </w:rPr>
              <w:t>2024年12月31日，该项目总投资927.74万元，主要用于维修道路面积5000平方米，维修路灯50盏，项目验收合格率100%，支付维修道路费用882.74万元，支付维修路灯费用45万元，通过实施本项目提升了居民安全感，群众满意度达到了100%。</w:t>
            </w:r>
          </w:p>
        </w:tc>
      </w:tr>
      <w:tr w14:paraId="2572DA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25F7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CF21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8C63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9B82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D1CF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3EDE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29C9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29D8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B92F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E79C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3F0B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099D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0FA03">
            <w:pPr>
              <w:jc w:val="center"/>
            </w:pPr>
            <w:r>
              <w:rPr>
                <w:rFonts w:ascii="宋体" w:hAnsi="宋体" w:eastAsia="宋体"/>
                <w:sz w:val="16"/>
              </w:rPr>
              <w:t>偏差原因分析及改进措施</w:t>
            </w:r>
          </w:p>
        </w:tc>
      </w:tr>
      <w:tr w14:paraId="19A147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D99EA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E042A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10073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7E0B0">
            <w:pPr>
              <w:jc w:val="center"/>
            </w:pPr>
            <w:r>
              <w:rPr>
                <w:rFonts w:ascii="宋体" w:hAnsi="宋体" w:eastAsia="宋体"/>
                <w:sz w:val="16"/>
              </w:rPr>
              <w:t>维修道路面积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C76D7">
            <w:pPr>
              <w:jc w:val="center"/>
            </w:pPr>
            <w:r>
              <w:rPr>
                <w:rFonts w:ascii="宋体" w:hAnsi="宋体" w:eastAsia="宋体"/>
                <w:sz w:val="16"/>
              </w:rPr>
              <w:t>&gt;=5000平方米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9BF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A2B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1DA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B2F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3F5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8045B">
            <w:pPr>
              <w:jc w:val="center"/>
            </w:pPr>
            <w:r>
              <w:rPr>
                <w:rFonts w:ascii="宋体" w:hAnsi="宋体" w:eastAsia="宋体"/>
                <w:sz w:val="16"/>
              </w:rPr>
              <w:t>=5000平方米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25B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048BA">
            <w:pPr>
              <w:jc w:val="center"/>
            </w:pPr>
          </w:p>
        </w:tc>
      </w:tr>
      <w:tr w14:paraId="38CF98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686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193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82C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F3513">
            <w:pPr>
              <w:jc w:val="center"/>
            </w:pPr>
            <w:r>
              <w:rPr>
                <w:rFonts w:ascii="宋体" w:hAnsi="宋体" w:eastAsia="宋体"/>
                <w:sz w:val="16"/>
              </w:rPr>
              <w:t>维修路灯数量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640F8">
            <w:pPr>
              <w:jc w:val="center"/>
            </w:pPr>
            <w:r>
              <w:rPr>
                <w:rFonts w:ascii="宋体" w:hAnsi="宋体" w:eastAsia="宋体"/>
                <w:sz w:val="16"/>
              </w:rPr>
              <w:t>&gt;=50盏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DF6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E7D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D2F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91F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14E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C1140">
            <w:pPr>
              <w:jc w:val="center"/>
            </w:pPr>
            <w:r>
              <w:rPr>
                <w:rFonts w:ascii="宋体" w:hAnsi="宋体" w:eastAsia="宋体"/>
                <w:sz w:val="16"/>
              </w:rPr>
              <w:t>=50盏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C27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590CE">
            <w:pPr>
              <w:jc w:val="center"/>
            </w:pPr>
          </w:p>
        </w:tc>
      </w:tr>
      <w:tr w14:paraId="3EEF06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94F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B26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DED7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A76EC">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55A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1FD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A91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844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460B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E38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301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AD5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C37E8">
            <w:pPr>
              <w:jc w:val="center"/>
            </w:pPr>
          </w:p>
        </w:tc>
      </w:tr>
      <w:tr w14:paraId="7C5148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CA7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6C8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817E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E824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E2490">
            <w:pPr>
              <w:jc w:val="center"/>
            </w:pPr>
            <w:r>
              <w:rPr>
                <w:rFonts w:ascii="宋体" w:hAnsi="宋体" w:eastAsia="宋体"/>
                <w:sz w:val="16"/>
              </w:rPr>
              <w:t>=2024年11月14日前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FE6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835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FFE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B9F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456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1F58F">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0055B">
            <w:pPr>
              <w:jc w:val="center"/>
            </w:pPr>
            <w:r>
              <w:rPr>
                <w:rFonts w:ascii="宋体" w:hAnsi="宋体" w:eastAsia="宋体"/>
                <w:sz w:val="16"/>
              </w:rPr>
              <w:t>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B9649">
            <w:pPr>
              <w:jc w:val="center"/>
            </w:pPr>
            <w:r>
              <w:rPr>
                <w:rFonts w:ascii="宋体" w:hAnsi="宋体" w:eastAsia="宋体"/>
                <w:sz w:val="16"/>
              </w:rPr>
              <w:t>项目初期因招标投标时间较晚，导致项目开工时间延迟，项目完工时间也相应</w:t>
            </w:r>
            <w:r>
              <w:rPr>
                <w:rFonts w:hint="eastAsia" w:ascii="宋体" w:hAnsi="宋体"/>
                <w:sz w:val="16"/>
                <w:lang w:eastAsia="zh-CN"/>
              </w:rPr>
              <w:t>地</w:t>
            </w:r>
            <w:r>
              <w:rPr>
                <w:rFonts w:ascii="宋体" w:hAnsi="宋体" w:eastAsia="宋体"/>
                <w:sz w:val="16"/>
              </w:rPr>
              <w:t>延后。</w:t>
            </w:r>
          </w:p>
        </w:tc>
      </w:tr>
      <w:tr w14:paraId="50FD18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627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A7A0F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8D18C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8B039">
            <w:pPr>
              <w:jc w:val="center"/>
            </w:pPr>
            <w:r>
              <w:rPr>
                <w:rFonts w:ascii="宋体" w:hAnsi="宋体" w:eastAsia="宋体"/>
                <w:sz w:val="16"/>
              </w:rPr>
              <w:t>维修道路成本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5C29E">
            <w:pPr>
              <w:jc w:val="center"/>
            </w:pPr>
            <w:r>
              <w:rPr>
                <w:rFonts w:ascii="宋体" w:hAnsi="宋体" w:eastAsia="宋体"/>
                <w:sz w:val="16"/>
              </w:rPr>
              <w:t>&lt;=882.74万元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0068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42E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D63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43E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2C5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F2728">
            <w:pPr>
              <w:jc w:val="center"/>
            </w:pPr>
            <w:r>
              <w:rPr>
                <w:rFonts w:ascii="宋体" w:hAnsi="宋体" w:eastAsia="宋体"/>
                <w:sz w:val="16"/>
              </w:rPr>
              <w:t>=882.74万元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A27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66C1A">
            <w:pPr>
              <w:jc w:val="center"/>
            </w:pPr>
          </w:p>
        </w:tc>
      </w:tr>
      <w:tr w14:paraId="624AEE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86E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DFA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313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39FDA">
            <w:pPr>
              <w:jc w:val="center"/>
            </w:pPr>
            <w:r>
              <w:rPr>
                <w:rFonts w:ascii="宋体" w:hAnsi="宋体" w:eastAsia="宋体"/>
                <w:sz w:val="16"/>
              </w:rPr>
              <w:t>维修路灯成本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1B1F7">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E415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3E0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6BD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5AD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4C9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29755">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5D7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60616">
            <w:pPr>
              <w:jc w:val="center"/>
            </w:pPr>
          </w:p>
        </w:tc>
      </w:tr>
      <w:tr w14:paraId="567244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854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A3D1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A88C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2B651">
            <w:pPr>
              <w:jc w:val="center"/>
            </w:pPr>
            <w:r>
              <w:rPr>
                <w:rFonts w:ascii="宋体" w:hAnsi="宋体" w:eastAsia="宋体"/>
                <w:sz w:val="16"/>
              </w:rPr>
              <w:t>提升居民安全感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A45A0">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41E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69D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8E04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9A26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E33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F7923">
            <w:pPr>
              <w:jc w:val="center"/>
            </w:pPr>
            <w:r>
              <w:rPr>
                <w:rFonts w:ascii="宋体" w:hAnsi="宋体" w:eastAsia="宋体"/>
                <w:sz w:val="16"/>
              </w:rPr>
              <w:tab/>
            </w: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8D6D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FA2D6">
            <w:pPr>
              <w:jc w:val="center"/>
            </w:pPr>
          </w:p>
        </w:tc>
      </w:tr>
      <w:tr w14:paraId="671BB0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718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306D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2FC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78B18">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C3C1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680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12B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AA1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DBE7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963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68F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5B2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8FBFF">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3D8E0C0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8F422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A129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13141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C697F">
            <w:pPr>
              <w:jc w:val="center"/>
            </w:pPr>
            <w:r>
              <w:rPr>
                <w:rFonts w:ascii="宋体" w:hAnsi="宋体" w:eastAsia="宋体"/>
                <w:sz w:val="16"/>
              </w:rPr>
              <w:t>97.5分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558B6BE"/>
        </w:tc>
      </w:tr>
    </w:tbl>
    <w:p w14:paraId="6429C07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6EE76820">
        <w:tblPrEx>
          <w:tblCellMar>
            <w:top w:w="0" w:type="dxa"/>
            <w:left w:w="108" w:type="dxa"/>
            <w:bottom w:w="0" w:type="dxa"/>
            <w:right w:w="108" w:type="dxa"/>
          </w:tblCellMar>
        </w:tblPrEx>
        <w:tc>
          <w:tcPr>
            <w:tcW w:w="8848" w:type="dxa"/>
            <w:gridSpan w:val="14"/>
            <w:vAlign w:val="center"/>
          </w:tcPr>
          <w:p w14:paraId="33DC3CC3">
            <w:pPr>
              <w:jc w:val="center"/>
            </w:pPr>
            <w:r>
              <w:rPr>
                <w:rFonts w:ascii="宋体" w:hAnsi="宋体" w:eastAsia="宋体"/>
                <w:sz w:val="24"/>
              </w:rPr>
              <w:t>项目支出绩效自评表</w:t>
            </w:r>
          </w:p>
        </w:tc>
      </w:tr>
      <w:tr w14:paraId="56298FEB">
        <w:tblPrEx>
          <w:tblCellMar>
            <w:top w:w="0" w:type="dxa"/>
            <w:left w:w="108" w:type="dxa"/>
            <w:bottom w:w="0" w:type="dxa"/>
            <w:right w:w="108" w:type="dxa"/>
          </w:tblCellMar>
        </w:tblPrEx>
        <w:tc>
          <w:tcPr>
            <w:tcW w:w="8848" w:type="dxa"/>
            <w:gridSpan w:val="14"/>
            <w:vAlign w:val="center"/>
          </w:tcPr>
          <w:p w14:paraId="0CC1E813">
            <w:pPr>
              <w:jc w:val="center"/>
            </w:pPr>
            <w:r>
              <w:rPr>
                <w:rFonts w:ascii="宋体" w:hAnsi="宋体" w:eastAsia="宋体"/>
                <w:sz w:val="24"/>
              </w:rPr>
              <w:t>(2024年度)</w:t>
            </w:r>
          </w:p>
        </w:tc>
      </w:tr>
      <w:tr w14:paraId="55C0FC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910C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F73938">
            <w:pPr>
              <w:jc w:val="center"/>
            </w:pPr>
            <w:r>
              <w:rPr>
                <w:rFonts w:ascii="宋体" w:hAnsi="宋体" w:eastAsia="宋体"/>
                <w:sz w:val="16"/>
              </w:rPr>
              <w:t>城东社区运行保障项目</w:t>
            </w:r>
          </w:p>
        </w:tc>
      </w:tr>
      <w:tr w14:paraId="13E7CA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B37A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26F19B">
            <w:pPr>
              <w:jc w:val="center"/>
            </w:pPr>
            <w:r>
              <w:rPr>
                <w:rFonts w:ascii="宋体" w:hAnsi="宋体" w:eastAsia="宋体"/>
                <w:sz w:val="16"/>
              </w:rPr>
              <w:t>城东金融贸易区管理服务中心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A704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4E8A75">
            <w:pPr>
              <w:jc w:val="center"/>
            </w:pPr>
            <w:r>
              <w:rPr>
                <w:rFonts w:ascii="宋体" w:hAnsi="宋体" w:eastAsia="宋体"/>
                <w:sz w:val="16"/>
              </w:rPr>
              <w:t>城东金融贸易区管理服务中心</w:t>
            </w:r>
          </w:p>
        </w:tc>
      </w:tr>
      <w:tr w14:paraId="580320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ACF04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95C0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8F25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A66A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8C99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BF71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2674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81E94">
            <w:pPr>
              <w:jc w:val="center"/>
            </w:pPr>
            <w:r>
              <w:rPr>
                <w:rFonts w:ascii="宋体" w:hAnsi="宋体" w:eastAsia="宋体"/>
                <w:sz w:val="16"/>
              </w:rPr>
              <w:t>得分</w:t>
            </w:r>
          </w:p>
        </w:tc>
      </w:tr>
      <w:tr w14:paraId="6F4269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CDF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19F0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582BC">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02F08">
            <w:pPr>
              <w:jc w:val="center"/>
            </w:pPr>
            <w:r>
              <w:rPr>
                <w:rFonts w:ascii="宋体" w:hAnsi="宋体" w:eastAsia="宋体"/>
                <w:sz w:val="16"/>
              </w:rPr>
              <w:t>18.76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7728C">
            <w:pPr>
              <w:jc w:val="center"/>
            </w:pPr>
            <w:r>
              <w:rPr>
                <w:rFonts w:ascii="宋体" w:hAnsi="宋体" w:eastAsia="宋体"/>
                <w:sz w:val="16"/>
              </w:rPr>
              <w:t>18.76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3F1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2354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D051F">
            <w:pPr>
              <w:jc w:val="center"/>
            </w:pPr>
            <w:r>
              <w:rPr>
                <w:rFonts w:ascii="宋体" w:hAnsi="宋体" w:eastAsia="宋体"/>
                <w:sz w:val="16"/>
              </w:rPr>
              <w:t>10.00分</w:t>
            </w:r>
          </w:p>
        </w:tc>
      </w:tr>
      <w:tr w14:paraId="2DA7D1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4B9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52F7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14C99">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01FE7">
            <w:pPr>
              <w:jc w:val="center"/>
            </w:pPr>
            <w:r>
              <w:rPr>
                <w:rFonts w:ascii="宋体" w:hAnsi="宋体" w:eastAsia="宋体"/>
                <w:sz w:val="16"/>
              </w:rPr>
              <w:t>18.76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32C37">
            <w:pPr>
              <w:jc w:val="center"/>
            </w:pPr>
            <w:r>
              <w:rPr>
                <w:rFonts w:ascii="宋体" w:hAnsi="宋体" w:eastAsia="宋体"/>
                <w:sz w:val="16"/>
              </w:rPr>
              <w:t>18.76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CB0D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64F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5138C">
            <w:pPr>
              <w:jc w:val="center"/>
            </w:pPr>
            <w:r>
              <w:rPr>
                <w:rFonts w:ascii="宋体" w:hAnsi="宋体" w:eastAsia="宋体"/>
                <w:sz w:val="16"/>
              </w:rPr>
              <w:t>—</w:t>
            </w:r>
          </w:p>
        </w:tc>
      </w:tr>
      <w:tr w14:paraId="132B6F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FCF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1445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E1C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0EE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660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36A0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FE6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B6A8A">
            <w:pPr>
              <w:jc w:val="center"/>
            </w:pPr>
            <w:r>
              <w:rPr>
                <w:rFonts w:ascii="宋体" w:hAnsi="宋体" w:eastAsia="宋体"/>
                <w:sz w:val="16"/>
              </w:rPr>
              <w:t>—</w:t>
            </w:r>
          </w:p>
        </w:tc>
      </w:tr>
      <w:tr w14:paraId="5871D5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8C8E2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1743D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0DD43C">
            <w:pPr>
              <w:jc w:val="center"/>
            </w:pPr>
            <w:r>
              <w:rPr>
                <w:rFonts w:ascii="宋体" w:hAnsi="宋体" w:eastAsia="宋体"/>
                <w:sz w:val="16"/>
              </w:rPr>
              <w:t>实际完成情况</w:t>
            </w:r>
          </w:p>
        </w:tc>
      </w:tr>
      <w:tr w14:paraId="709348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3F45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65D02C">
            <w:pPr>
              <w:jc w:val="both"/>
            </w:pPr>
            <w:r>
              <w:rPr>
                <w:rFonts w:ascii="宋体" w:hAnsi="宋体" w:eastAsia="宋体"/>
                <w:sz w:val="16"/>
              </w:rPr>
              <w:t>项目预算安排18.76万元，主要用于保障城东金融贸易区3个社区正常运转，实施该项目能够加快推进城东金融贸易区招商可持续性发展，有效提升社会服务能力。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9B0B1F">
            <w:pPr>
              <w:jc w:val="both"/>
            </w:pPr>
            <w:r>
              <w:rPr>
                <w:rFonts w:hint="eastAsia" w:ascii="宋体" w:hAnsi="宋体"/>
                <w:sz w:val="16"/>
                <w:lang w:eastAsia="zh-CN"/>
              </w:rPr>
              <w:t>截至</w:t>
            </w:r>
            <w:r>
              <w:rPr>
                <w:rFonts w:ascii="宋体" w:hAnsi="宋体" w:eastAsia="宋体"/>
                <w:sz w:val="16"/>
              </w:rPr>
              <w:t>2024年12月31日，项目预算安排18.76万元，已执行18.76万元，主要用于保障城东金融贸易区3个社区正常运转，项目管理合规率100%，项目开工及时率100%，支付每个社区运转经费6.25万元，实施该项目提升了各个社区社会服务能力，社区人员满意度达到了100%。</w:t>
            </w:r>
          </w:p>
        </w:tc>
      </w:tr>
      <w:tr w14:paraId="661DEF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31DE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AC96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B3A2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DF90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CF60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0C99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FB1C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9A54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47E7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E09C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DD12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A414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B1702">
            <w:pPr>
              <w:jc w:val="center"/>
            </w:pPr>
            <w:r>
              <w:rPr>
                <w:rFonts w:ascii="宋体" w:hAnsi="宋体" w:eastAsia="宋体"/>
                <w:sz w:val="16"/>
              </w:rPr>
              <w:t>偏差原因分析及改进措施</w:t>
            </w:r>
          </w:p>
        </w:tc>
      </w:tr>
      <w:tr w14:paraId="410EC7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8F18D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6074F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BC68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BECAE">
            <w:pPr>
              <w:jc w:val="center"/>
            </w:pPr>
            <w:r>
              <w:rPr>
                <w:rFonts w:ascii="宋体" w:hAnsi="宋体" w:eastAsia="宋体"/>
                <w:sz w:val="16"/>
              </w:rPr>
              <w:t>社区数量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FBF7E">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4E1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F86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64C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245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C16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0E704">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FF1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77CAC">
            <w:pPr>
              <w:jc w:val="center"/>
            </w:pPr>
          </w:p>
        </w:tc>
      </w:tr>
      <w:tr w14:paraId="24CECF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EC6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B9E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4C4B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AAB90">
            <w:pPr>
              <w:jc w:val="center"/>
            </w:pPr>
            <w:r>
              <w:rPr>
                <w:rFonts w:ascii="宋体" w:hAnsi="宋体" w:eastAsia="宋体"/>
                <w:sz w:val="16"/>
              </w:rPr>
              <w:t>项目管理合规率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9F6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AAB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9D5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9CA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560C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F25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2BA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B9B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8DF0F">
            <w:pPr>
              <w:jc w:val="center"/>
            </w:pPr>
          </w:p>
        </w:tc>
      </w:tr>
      <w:tr w14:paraId="503BA5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6DC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A8A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1DCFC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9E11D">
            <w:pPr>
              <w:jc w:val="center"/>
            </w:pPr>
            <w:r>
              <w:rPr>
                <w:rFonts w:ascii="宋体" w:hAnsi="宋体" w:eastAsia="宋体"/>
                <w:sz w:val="16"/>
              </w:rPr>
              <w:t>项目开工及时率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CB9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A2C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E5B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3B8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74F4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BBA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701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E17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36529">
            <w:pPr>
              <w:jc w:val="center"/>
            </w:pPr>
          </w:p>
        </w:tc>
      </w:tr>
      <w:tr w14:paraId="6CE57F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3A0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C0B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A5A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277E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40968">
            <w:pPr>
              <w:jc w:val="center"/>
            </w:pPr>
            <w:r>
              <w:rPr>
                <w:rFonts w:ascii="宋体" w:hAnsi="宋体" w:eastAsia="宋体"/>
                <w:sz w:val="16"/>
              </w:rPr>
              <w:t>=2024年11月17日前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D2B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5BD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5BE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1BA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2F4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AE0B6">
            <w:pPr>
              <w:jc w:val="center"/>
            </w:pPr>
            <w:r>
              <w:rPr>
                <w:rFonts w:ascii="宋体" w:hAnsi="宋体" w:eastAsia="宋体"/>
                <w:sz w:val="16"/>
              </w:rPr>
              <w:t>=2024年11月16日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04E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C9E8C">
            <w:pPr>
              <w:jc w:val="center"/>
            </w:pPr>
          </w:p>
        </w:tc>
      </w:tr>
      <w:tr w14:paraId="713F7E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406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69BB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91C2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B5B36">
            <w:pPr>
              <w:jc w:val="center"/>
            </w:pPr>
            <w:r>
              <w:rPr>
                <w:rFonts w:ascii="宋体" w:hAnsi="宋体" w:eastAsia="宋体"/>
                <w:sz w:val="16"/>
              </w:rPr>
              <w:t>每个社区运转经费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7BAD8">
            <w:pPr>
              <w:jc w:val="center"/>
            </w:pPr>
            <w:r>
              <w:rPr>
                <w:rFonts w:ascii="宋体" w:hAnsi="宋体" w:eastAsia="宋体"/>
                <w:sz w:val="16"/>
              </w:rPr>
              <w:t>&lt;=6.25万元/个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F76E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3E1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996F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D3D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A18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D5A77">
            <w:pPr>
              <w:jc w:val="center"/>
            </w:pPr>
            <w:r>
              <w:rPr>
                <w:rFonts w:ascii="宋体" w:hAnsi="宋体" w:eastAsia="宋体"/>
                <w:sz w:val="16"/>
              </w:rPr>
              <w:t>=6.25万元/个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1397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C54A2">
            <w:pPr>
              <w:jc w:val="center"/>
            </w:pPr>
          </w:p>
        </w:tc>
      </w:tr>
      <w:tr w14:paraId="77F609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65A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EEFB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BB39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9B0C1">
            <w:pPr>
              <w:jc w:val="center"/>
            </w:pPr>
            <w:r>
              <w:rPr>
                <w:rFonts w:ascii="宋体" w:hAnsi="宋体" w:eastAsia="宋体"/>
                <w:sz w:val="16"/>
              </w:rPr>
              <w:t>提升社会服务能力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4A8EF">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A0B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B28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289E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3282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A17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CA569">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329B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04782">
            <w:pPr>
              <w:jc w:val="center"/>
            </w:pPr>
          </w:p>
        </w:tc>
      </w:tr>
      <w:tr w14:paraId="0BFA52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8B7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43AE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062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BB9B6">
            <w:pPr>
              <w:jc w:val="center"/>
            </w:pPr>
            <w:r>
              <w:rPr>
                <w:rFonts w:ascii="宋体" w:hAnsi="宋体" w:eastAsia="宋体"/>
                <w:sz w:val="16"/>
              </w:rPr>
              <w:t>社区人员满意度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85A0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EEB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3B4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902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1A65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BDD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8C6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18C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ED333">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08DCEE6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5E654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13A6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E189B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7C5D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F94A77A"/>
        </w:tc>
      </w:tr>
    </w:tbl>
    <w:p w14:paraId="2EDB7EAA">
      <w:r>
        <w:br w:type="page"/>
      </w:r>
    </w:p>
    <w:tbl>
      <w:tblPr>
        <w:tblStyle w:val="9"/>
        <w:tblW w:w="0" w:type="auto"/>
        <w:tblInd w:w="0" w:type="dxa"/>
        <w:tblLayout w:type="autofit"/>
        <w:tblCellMar>
          <w:top w:w="0" w:type="dxa"/>
          <w:left w:w="108" w:type="dxa"/>
          <w:bottom w:w="0" w:type="dxa"/>
          <w:right w:w="108" w:type="dxa"/>
        </w:tblCellMar>
      </w:tblPr>
      <w:tblGrid>
        <w:gridCol w:w="625"/>
        <w:gridCol w:w="617"/>
        <w:gridCol w:w="617"/>
        <w:gridCol w:w="617"/>
        <w:gridCol w:w="856"/>
        <w:gridCol w:w="617"/>
        <w:gridCol w:w="617"/>
        <w:gridCol w:w="622"/>
        <w:gridCol w:w="617"/>
        <w:gridCol w:w="617"/>
        <w:gridCol w:w="776"/>
        <w:gridCol w:w="631"/>
        <w:gridCol w:w="599"/>
        <w:gridCol w:w="632"/>
      </w:tblGrid>
      <w:tr w14:paraId="146EF42E">
        <w:tblPrEx>
          <w:tblCellMar>
            <w:top w:w="0" w:type="dxa"/>
            <w:left w:w="108" w:type="dxa"/>
            <w:bottom w:w="0" w:type="dxa"/>
            <w:right w:w="108" w:type="dxa"/>
          </w:tblCellMar>
        </w:tblPrEx>
        <w:tc>
          <w:tcPr>
            <w:tcW w:w="8848" w:type="dxa"/>
            <w:gridSpan w:val="14"/>
            <w:vAlign w:val="center"/>
          </w:tcPr>
          <w:p w14:paraId="56335194">
            <w:pPr>
              <w:jc w:val="center"/>
            </w:pPr>
            <w:r>
              <w:rPr>
                <w:rFonts w:ascii="宋体" w:hAnsi="宋体" w:eastAsia="宋体"/>
                <w:sz w:val="24"/>
              </w:rPr>
              <w:t>项目支出绩效自评表</w:t>
            </w:r>
          </w:p>
        </w:tc>
      </w:tr>
      <w:tr w14:paraId="43284332">
        <w:tblPrEx>
          <w:tblCellMar>
            <w:top w:w="0" w:type="dxa"/>
            <w:left w:w="108" w:type="dxa"/>
            <w:bottom w:w="0" w:type="dxa"/>
            <w:right w:w="108" w:type="dxa"/>
          </w:tblCellMar>
        </w:tblPrEx>
        <w:tc>
          <w:tcPr>
            <w:tcW w:w="8848" w:type="dxa"/>
            <w:gridSpan w:val="14"/>
            <w:vAlign w:val="center"/>
          </w:tcPr>
          <w:p w14:paraId="42EDFAA6">
            <w:pPr>
              <w:jc w:val="center"/>
            </w:pPr>
            <w:r>
              <w:rPr>
                <w:rFonts w:ascii="宋体" w:hAnsi="宋体" w:eastAsia="宋体"/>
                <w:sz w:val="24"/>
              </w:rPr>
              <w:t>(2024年度)</w:t>
            </w:r>
          </w:p>
        </w:tc>
      </w:tr>
      <w:tr w14:paraId="537066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215D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5F9355">
            <w:pPr>
              <w:jc w:val="center"/>
            </w:pPr>
            <w:r>
              <w:rPr>
                <w:rFonts w:ascii="宋体" w:hAnsi="宋体" w:eastAsia="宋体"/>
                <w:sz w:val="16"/>
              </w:rPr>
              <w:t>城东运行保障项目</w:t>
            </w:r>
          </w:p>
        </w:tc>
      </w:tr>
      <w:tr w14:paraId="5AE35A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2963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C082A5">
            <w:pPr>
              <w:jc w:val="center"/>
            </w:pPr>
            <w:r>
              <w:rPr>
                <w:rFonts w:ascii="宋体" w:hAnsi="宋体" w:eastAsia="宋体"/>
                <w:sz w:val="16"/>
              </w:rPr>
              <w:t>城东金融贸易区管理服务中心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F691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8FACB1">
            <w:pPr>
              <w:jc w:val="center"/>
            </w:pPr>
            <w:r>
              <w:rPr>
                <w:rFonts w:ascii="宋体" w:hAnsi="宋体" w:eastAsia="宋体"/>
                <w:sz w:val="16"/>
              </w:rPr>
              <w:t>城东金融贸易区管理服务中心</w:t>
            </w:r>
          </w:p>
        </w:tc>
      </w:tr>
      <w:tr w14:paraId="71D7ED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D7E19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CB73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9187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4888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B928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7246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CFA8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B1ECE">
            <w:pPr>
              <w:jc w:val="center"/>
            </w:pPr>
            <w:r>
              <w:rPr>
                <w:rFonts w:ascii="宋体" w:hAnsi="宋体" w:eastAsia="宋体"/>
                <w:sz w:val="16"/>
              </w:rPr>
              <w:t>得分</w:t>
            </w:r>
          </w:p>
        </w:tc>
      </w:tr>
      <w:tr w14:paraId="157655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BEB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2836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C8BCF">
            <w:pPr>
              <w:jc w:val="center"/>
            </w:pPr>
            <w:r>
              <w:rPr>
                <w:rFonts w:ascii="宋体" w:hAnsi="宋体" w:eastAsia="宋体"/>
                <w:sz w:val="16"/>
              </w:rPr>
              <w:t>762.00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307BA">
            <w:pPr>
              <w:jc w:val="center"/>
            </w:pPr>
            <w:r>
              <w:rPr>
                <w:rFonts w:ascii="宋体" w:hAnsi="宋体" w:eastAsia="宋体"/>
                <w:sz w:val="16"/>
              </w:rPr>
              <w:t>758.82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CF2B6">
            <w:pPr>
              <w:jc w:val="center"/>
            </w:pPr>
            <w:r>
              <w:rPr>
                <w:rFonts w:ascii="宋体" w:hAnsi="宋体" w:eastAsia="宋体"/>
                <w:sz w:val="16"/>
              </w:rPr>
              <w:t>728.67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650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7336E">
            <w:pPr>
              <w:jc w:val="center"/>
            </w:pPr>
            <w:r>
              <w:rPr>
                <w:rFonts w:ascii="宋体" w:hAnsi="宋体" w:eastAsia="宋体"/>
                <w:sz w:val="16"/>
              </w:rPr>
              <w:t>96.0%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BE616">
            <w:pPr>
              <w:jc w:val="center"/>
            </w:pPr>
            <w:r>
              <w:rPr>
                <w:rFonts w:ascii="宋体" w:hAnsi="宋体" w:eastAsia="宋体"/>
                <w:sz w:val="16"/>
              </w:rPr>
              <w:t>10.00分</w:t>
            </w:r>
          </w:p>
        </w:tc>
      </w:tr>
      <w:tr w14:paraId="69E29B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099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58AA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6B187">
            <w:pPr>
              <w:jc w:val="center"/>
            </w:pPr>
            <w:r>
              <w:rPr>
                <w:rFonts w:ascii="宋体" w:hAnsi="宋体" w:eastAsia="宋体"/>
                <w:sz w:val="16"/>
              </w:rPr>
              <w:t>762.00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90F72">
            <w:pPr>
              <w:jc w:val="center"/>
            </w:pPr>
            <w:r>
              <w:rPr>
                <w:rFonts w:ascii="宋体" w:hAnsi="宋体" w:eastAsia="宋体"/>
                <w:sz w:val="16"/>
              </w:rPr>
              <w:t>758.82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A0040">
            <w:pPr>
              <w:jc w:val="center"/>
            </w:pPr>
            <w:r>
              <w:rPr>
                <w:rFonts w:ascii="宋体" w:hAnsi="宋体" w:eastAsia="宋体"/>
                <w:sz w:val="16"/>
              </w:rPr>
              <w:t>728.67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C18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190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F2C28">
            <w:pPr>
              <w:jc w:val="center"/>
            </w:pPr>
            <w:r>
              <w:rPr>
                <w:rFonts w:ascii="宋体" w:hAnsi="宋体" w:eastAsia="宋体"/>
                <w:sz w:val="16"/>
              </w:rPr>
              <w:t>—</w:t>
            </w:r>
          </w:p>
        </w:tc>
      </w:tr>
      <w:tr w14:paraId="6E6818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ED4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7BA7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2A4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139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9FA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15B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6E9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FF447">
            <w:pPr>
              <w:jc w:val="center"/>
            </w:pPr>
            <w:r>
              <w:rPr>
                <w:rFonts w:ascii="宋体" w:hAnsi="宋体" w:eastAsia="宋体"/>
                <w:sz w:val="16"/>
              </w:rPr>
              <w:t>—</w:t>
            </w:r>
          </w:p>
        </w:tc>
      </w:tr>
      <w:tr w14:paraId="56C501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50FE9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43633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077801">
            <w:pPr>
              <w:jc w:val="center"/>
            </w:pPr>
            <w:r>
              <w:rPr>
                <w:rFonts w:ascii="宋体" w:hAnsi="宋体" w:eastAsia="宋体"/>
                <w:sz w:val="16"/>
              </w:rPr>
              <w:t>实际完成情况</w:t>
            </w:r>
          </w:p>
        </w:tc>
      </w:tr>
      <w:tr w14:paraId="60F266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EE47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0FD440">
            <w:pPr>
              <w:jc w:val="both"/>
            </w:pPr>
            <w:r>
              <w:rPr>
                <w:rFonts w:ascii="宋体" w:hAnsi="宋体" w:eastAsia="宋体"/>
                <w:sz w:val="16"/>
              </w:rPr>
              <w:t>项目总投资758.82万元，政府采购3次，用于城东金融贸易区市政电费楼宇亮化、城东金融贸易区水费、租赁费、广告宣传费。实施该项目能够有效提升社会服务能力。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BEC573">
            <w:pPr>
              <w:jc w:val="both"/>
            </w:pPr>
            <w:r>
              <w:rPr>
                <w:rFonts w:hint="eastAsia" w:ascii="宋体" w:hAnsi="宋体"/>
                <w:sz w:val="16"/>
                <w:lang w:eastAsia="zh-CN"/>
              </w:rPr>
              <w:t>截至</w:t>
            </w:r>
            <w:r>
              <w:rPr>
                <w:rFonts w:ascii="宋体" w:hAnsi="宋体" w:eastAsia="宋体"/>
                <w:sz w:val="16"/>
              </w:rPr>
              <w:t>2024年12月31日，项目总投资758.82万元，主要用于城东金融贸易区市政电费楼宇亮化、城东金融贸易区水费、租赁费、广告宣传费，政府采购3次，支付运营保障费用569.85万元，支付市政公共设施电费158.82万元，实施该项目有效提升了城东中心社会服务能力，城东中心办公人员满意度达到了100%。</w:t>
            </w:r>
          </w:p>
        </w:tc>
      </w:tr>
      <w:tr w14:paraId="693696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5D88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A386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E4CF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45FD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4014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F42F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BA17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21CF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F1E2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9FFE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36F4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9BB2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07E1B">
            <w:pPr>
              <w:jc w:val="center"/>
            </w:pPr>
            <w:r>
              <w:rPr>
                <w:rFonts w:ascii="宋体" w:hAnsi="宋体" w:eastAsia="宋体"/>
                <w:sz w:val="16"/>
              </w:rPr>
              <w:t>偏差原因分析及改进措施</w:t>
            </w:r>
          </w:p>
        </w:tc>
      </w:tr>
      <w:tr w14:paraId="53EC24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27CC2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4D7E3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C685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86BDF">
            <w:pPr>
              <w:jc w:val="center"/>
            </w:pPr>
            <w:r>
              <w:rPr>
                <w:rFonts w:ascii="宋体" w:hAnsi="宋体" w:eastAsia="宋体"/>
                <w:sz w:val="16"/>
              </w:rPr>
              <w:t>政府采购数量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1AA5B">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CB1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A29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8EA3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CE8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9BF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C2A17">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BA515">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BC7C0">
            <w:pPr>
              <w:jc w:val="center"/>
            </w:pPr>
          </w:p>
        </w:tc>
      </w:tr>
      <w:tr w14:paraId="787028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C2D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5C5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62E5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CC650">
            <w:pPr>
              <w:jc w:val="center"/>
            </w:pPr>
            <w:r>
              <w:rPr>
                <w:rFonts w:ascii="宋体" w:hAnsi="宋体" w:eastAsia="宋体"/>
                <w:sz w:val="16"/>
              </w:rPr>
              <w:t>项目管理合格率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EC0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9A7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1A3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64D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EE22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B35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AC1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424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4A284">
            <w:pPr>
              <w:jc w:val="center"/>
            </w:pPr>
          </w:p>
        </w:tc>
      </w:tr>
      <w:tr w14:paraId="54FE4D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BEA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562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76AB0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EE212">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CB8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252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A27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471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5479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ADB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8B1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3D1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5CFC6">
            <w:pPr>
              <w:jc w:val="center"/>
            </w:pPr>
          </w:p>
        </w:tc>
      </w:tr>
      <w:tr w14:paraId="1680CE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799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0F4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FD7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10CC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20E34">
            <w:pPr>
              <w:jc w:val="center"/>
            </w:pPr>
            <w:r>
              <w:rPr>
                <w:rFonts w:ascii="宋体" w:hAnsi="宋体" w:eastAsia="宋体"/>
                <w:sz w:val="16"/>
              </w:rPr>
              <w:t>=2024年10月17日前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7C9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261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2E6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569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75A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3B046">
            <w:pPr>
              <w:jc w:val="center"/>
            </w:pPr>
            <w:r>
              <w:rPr>
                <w:rFonts w:ascii="宋体" w:hAnsi="宋体" w:eastAsia="宋体"/>
                <w:sz w:val="16"/>
              </w:rPr>
              <w:t>=2024年10月16日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AEE0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02C8A">
            <w:pPr>
              <w:jc w:val="center"/>
            </w:pPr>
          </w:p>
        </w:tc>
      </w:tr>
      <w:tr w14:paraId="5CEB82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430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591B3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15AD9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00F40">
            <w:pPr>
              <w:jc w:val="center"/>
            </w:pPr>
            <w:r>
              <w:rPr>
                <w:rFonts w:ascii="宋体" w:hAnsi="宋体" w:eastAsia="宋体"/>
                <w:sz w:val="16"/>
              </w:rPr>
              <w:t>运行保障费用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D6BE2">
            <w:pPr>
              <w:jc w:val="center"/>
            </w:pPr>
            <w:r>
              <w:rPr>
                <w:rFonts w:ascii="宋体" w:hAnsi="宋体" w:eastAsia="宋体"/>
                <w:sz w:val="16"/>
              </w:rPr>
              <w:t>&lt;=600万元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DB7D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027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CE9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5C3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593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19F7E">
            <w:pPr>
              <w:jc w:val="center"/>
            </w:pPr>
            <w:r>
              <w:rPr>
                <w:rFonts w:ascii="宋体" w:hAnsi="宋体" w:eastAsia="宋体"/>
                <w:sz w:val="16"/>
              </w:rPr>
              <w:t>=569.85万元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A2710">
            <w:pPr>
              <w:jc w:val="center"/>
            </w:pPr>
            <w:r>
              <w:rPr>
                <w:rFonts w:ascii="宋体" w:hAnsi="宋体" w:eastAsia="宋体"/>
                <w:sz w:val="16"/>
              </w:rPr>
              <w:t>8.75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FFB35">
            <w:pPr>
              <w:jc w:val="center"/>
            </w:pPr>
            <w:r>
              <w:rPr>
                <w:rFonts w:ascii="宋体" w:hAnsi="宋体" w:eastAsia="宋体"/>
                <w:sz w:val="16"/>
              </w:rPr>
              <w:t>项目初期，运行保障费用的支出情况测算存在偏差，导致预期值设置偏高。改进措施：深入分析，更好地把握和预测运营保障费用实际资金需求的变化，避免出现偏差。</w:t>
            </w:r>
          </w:p>
        </w:tc>
      </w:tr>
      <w:tr w14:paraId="0D1D14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1D0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FA6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E93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B8431">
            <w:pPr>
              <w:jc w:val="center"/>
            </w:pPr>
            <w:r>
              <w:rPr>
                <w:rFonts w:ascii="宋体" w:hAnsi="宋体" w:eastAsia="宋体"/>
                <w:sz w:val="16"/>
              </w:rPr>
              <w:t>市政公共设施电费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AA2CC">
            <w:pPr>
              <w:jc w:val="center"/>
            </w:pPr>
            <w:r>
              <w:rPr>
                <w:rFonts w:ascii="宋体" w:hAnsi="宋体" w:eastAsia="宋体"/>
                <w:sz w:val="16"/>
              </w:rPr>
              <w:t>&lt;=158.82万元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A5D8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147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EEA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3AE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64D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DBD39">
            <w:pPr>
              <w:jc w:val="center"/>
            </w:pPr>
            <w:r>
              <w:rPr>
                <w:rFonts w:ascii="宋体" w:hAnsi="宋体" w:eastAsia="宋体"/>
                <w:sz w:val="16"/>
              </w:rPr>
              <w:t>=158.82万元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9BA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FD0AC">
            <w:pPr>
              <w:jc w:val="center"/>
            </w:pPr>
          </w:p>
        </w:tc>
      </w:tr>
      <w:tr w14:paraId="0C6CDA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B24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BEE5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EE88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1B002">
            <w:pPr>
              <w:jc w:val="center"/>
            </w:pPr>
            <w:r>
              <w:rPr>
                <w:rFonts w:ascii="宋体" w:hAnsi="宋体" w:eastAsia="宋体"/>
                <w:sz w:val="16"/>
              </w:rPr>
              <w:t>提升社会服务能力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59B73">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3DF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570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935A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6AAC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B81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868BC">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7F8C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19CB9">
            <w:pPr>
              <w:jc w:val="center"/>
            </w:pPr>
          </w:p>
        </w:tc>
      </w:tr>
      <w:tr w14:paraId="47154D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3A8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5FBB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954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EC82F">
            <w:pPr>
              <w:jc w:val="center"/>
            </w:pPr>
            <w:r>
              <w:rPr>
                <w:rFonts w:ascii="宋体" w:hAnsi="宋体" w:eastAsia="宋体"/>
                <w:sz w:val="16"/>
              </w:rPr>
              <w:t>城东中心办公人员满意度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36F8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A86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546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E77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3F0C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1C6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AA9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0A7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C0B09">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301FB15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42323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14F3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D1E8C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FC2BB">
            <w:pPr>
              <w:jc w:val="center"/>
            </w:pPr>
            <w:r>
              <w:rPr>
                <w:rFonts w:ascii="宋体" w:hAnsi="宋体" w:eastAsia="宋体"/>
                <w:sz w:val="16"/>
              </w:rPr>
              <w:t>98.75分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8029032"/>
        </w:tc>
      </w:tr>
    </w:tbl>
    <w:p w14:paraId="7CC3925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3D401042">
        <w:tblPrEx>
          <w:tblCellMar>
            <w:top w:w="0" w:type="dxa"/>
            <w:left w:w="108" w:type="dxa"/>
            <w:bottom w:w="0" w:type="dxa"/>
            <w:right w:w="108" w:type="dxa"/>
          </w:tblCellMar>
        </w:tblPrEx>
        <w:tc>
          <w:tcPr>
            <w:tcW w:w="8848" w:type="dxa"/>
            <w:gridSpan w:val="14"/>
            <w:vAlign w:val="center"/>
          </w:tcPr>
          <w:p w14:paraId="19852698">
            <w:pPr>
              <w:jc w:val="center"/>
            </w:pPr>
            <w:r>
              <w:rPr>
                <w:rFonts w:ascii="宋体" w:hAnsi="宋体" w:eastAsia="宋体"/>
                <w:sz w:val="24"/>
              </w:rPr>
              <w:t>项目支出绩效自评表</w:t>
            </w:r>
          </w:p>
        </w:tc>
      </w:tr>
      <w:tr w14:paraId="49178BD5">
        <w:tblPrEx>
          <w:tblCellMar>
            <w:top w:w="0" w:type="dxa"/>
            <w:left w:w="108" w:type="dxa"/>
            <w:bottom w:w="0" w:type="dxa"/>
            <w:right w:w="108" w:type="dxa"/>
          </w:tblCellMar>
        </w:tblPrEx>
        <w:tc>
          <w:tcPr>
            <w:tcW w:w="8848" w:type="dxa"/>
            <w:gridSpan w:val="14"/>
            <w:vAlign w:val="center"/>
          </w:tcPr>
          <w:p w14:paraId="102F8BE4">
            <w:pPr>
              <w:jc w:val="center"/>
            </w:pPr>
            <w:r>
              <w:rPr>
                <w:rFonts w:ascii="宋体" w:hAnsi="宋体" w:eastAsia="宋体"/>
                <w:sz w:val="24"/>
              </w:rPr>
              <w:t>(2024年度)</w:t>
            </w:r>
          </w:p>
        </w:tc>
      </w:tr>
      <w:tr w14:paraId="55ACFD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B708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8993020">
            <w:pPr>
              <w:jc w:val="center"/>
            </w:pPr>
            <w:r>
              <w:rPr>
                <w:rFonts w:ascii="宋体" w:hAnsi="宋体" w:eastAsia="宋体"/>
                <w:sz w:val="16"/>
              </w:rPr>
              <w:t>城东金融贸易区口袋公园提升项目</w:t>
            </w:r>
          </w:p>
        </w:tc>
      </w:tr>
      <w:tr w14:paraId="6693D6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B705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F97B80">
            <w:pPr>
              <w:jc w:val="center"/>
            </w:pPr>
            <w:r>
              <w:rPr>
                <w:rFonts w:ascii="宋体" w:hAnsi="宋体" w:eastAsia="宋体"/>
                <w:sz w:val="16"/>
              </w:rPr>
              <w:t>城东金融贸易区管理服务中心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0FC6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0A0572">
            <w:pPr>
              <w:jc w:val="center"/>
            </w:pPr>
            <w:r>
              <w:rPr>
                <w:rFonts w:ascii="宋体" w:hAnsi="宋体" w:eastAsia="宋体"/>
                <w:sz w:val="16"/>
              </w:rPr>
              <w:t>城东金融贸易区管理服务中心</w:t>
            </w:r>
          </w:p>
        </w:tc>
      </w:tr>
      <w:tr w14:paraId="0FBB5A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D2C69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7EA8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860D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BC84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64AD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1F41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FCA5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CCB87">
            <w:pPr>
              <w:jc w:val="center"/>
            </w:pPr>
            <w:r>
              <w:rPr>
                <w:rFonts w:ascii="宋体" w:hAnsi="宋体" w:eastAsia="宋体"/>
                <w:sz w:val="16"/>
              </w:rPr>
              <w:t>得分</w:t>
            </w:r>
          </w:p>
        </w:tc>
      </w:tr>
      <w:tr w14:paraId="638544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B7A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132B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0DB00">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0380D">
            <w:pPr>
              <w:jc w:val="center"/>
            </w:pPr>
            <w:r>
              <w:rPr>
                <w:rFonts w:ascii="宋体" w:hAnsi="宋体" w:eastAsia="宋体"/>
                <w:sz w:val="16"/>
              </w:rPr>
              <w:t>83.05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B6633">
            <w:pPr>
              <w:jc w:val="center"/>
            </w:pPr>
            <w:r>
              <w:rPr>
                <w:rFonts w:ascii="宋体" w:hAnsi="宋体" w:eastAsia="宋体"/>
                <w:sz w:val="16"/>
              </w:rPr>
              <w:t>83.05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E98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9E46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0A02B">
            <w:pPr>
              <w:jc w:val="center"/>
            </w:pPr>
            <w:r>
              <w:rPr>
                <w:rFonts w:ascii="宋体" w:hAnsi="宋体" w:eastAsia="宋体"/>
                <w:sz w:val="16"/>
              </w:rPr>
              <w:t>10.00分</w:t>
            </w:r>
          </w:p>
        </w:tc>
      </w:tr>
      <w:tr w14:paraId="126A87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3DF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7923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84E68">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C27F5">
            <w:pPr>
              <w:jc w:val="center"/>
            </w:pPr>
            <w:r>
              <w:rPr>
                <w:rFonts w:ascii="宋体" w:hAnsi="宋体" w:eastAsia="宋体"/>
                <w:sz w:val="16"/>
              </w:rPr>
              <w:t>83.05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D0A79">
            <w:pPr>
              <w:jc w:val="center"/>
            </w:pPr>
            <w:r>
              <w:rPr>
                <w:rFonts w:ascii="宋体" w:hAnsi="宋体" w:eastAsia="宋体"/>
                <w:sz w:val="16"/>
              </w:rPr>
              <w:t>83.05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C4C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68F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683C9">
            <w:pPr>
              <w:jc w:val="center"/>
            </w:pPr>
            <w:r>
              <w:rPr>
                <w:rFonts w:ascii="宋体" w:hAnsi="宋体" w:eastAsia="宋体"/>
                <w:sz w:val="16"/>
              </w:rPr>
              <w:t>—</w:t>
            </w:r>
          </w:p>
        </w:tc>
      </w:tr>
      <w:tr w14:paraId="44100C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C5D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0DB6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2A0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EE3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DAA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C7B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BFA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DABF4">
            <w:pPr>
              <w:jc w:val="center"/>
            </w:pPr>
            <w:r>
              <w:rPr>
                <w:rFonts w:ascii="宋体" w:hAnsi="宋体" w:eastAsia="宋体"/>
                <w:sz w:val="16"/>
              </w:rPr>
              <w:t>—</w:t>
            </w:r>
          </w:p>
        </w:tc>
      </w:tr>
      <w:tr w14:paraId="659484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304CB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BE635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4A9E00">
            <w:pPr>
              <w:jc w:val="center"/>
            </w:pPr>
            <w:r>
              <w:rPr>
                <w:rFonts w:ascii="宋体" w:hAnsi="宋体" w:eastAsia="宋体"/>
                <w:sz w:val="16"/>
              </w:rPr>
              <w:t>实际完成情况</w:t>
            </w:r>
          </w:p>
        </w:tc>
      </w:tr>
      <w:tr w14:paraId="01B3DF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B2E1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9F560E">
            <w:pPr>
              <w:jc w:val="both"/>
            </w:pPr>
            <w:r>
              <w:rPr>
                <w:rFonts w:ascii="宋体" w:hAnsi="宋体" w:eastAsia="宋体"/>
                <w:sz w:val="16"/>
              </w:rPr>
              <w:t>总投资83.05万元，完善城东金融贸易区市政公共设施服务功能，保证群众出行安全和保障相关权益。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C43E10">
            <w:pPr>
              <w:jc w:val="both"/>
            </w:pPr>
            <w:r>
              <w:rPr>
                <w:rFonts w:hint="eastAsia" w:ascii="宋体" w:hAnsi="宋体"/>
                <w:sz w:val="16"/>
                <w:lang w:eastAsia="zh-CN"/>
              </w:rPr>
              <w:t>截至</w:t>
            </w:r>
            <w:r>
              <w:rPr>
                <w:rFonts w:ascii="宋体" w:hAnsi="宋体" w:eastAsia="宋体"/>
                <w:sz w:val="16"/>
              </w:rPr>
              <w:t>2024年12月31日，该项目总投资83.05万元，已执行83.05万元，执行率100%，完善设施公园数量3个，支付单个公园成本27.68万元，项目验收通过率100%，项目按期完成率100%，提升了群众安全感，增加了公共实施服务人数，群众满意度达到了100%。</w:t>
            </w:r>
          </w:p>
        </w:tc>
      </w:tr>
      <w:tr w14:paraId="6F039A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477F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4158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BBC8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816E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2410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E9C4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5919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ADE9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EBE2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59D6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5414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5CBA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705D7">
            <w:pPr>
              <w:jc w:val="center"/>
            </w:pPr>
            <w:r>
              <w:rPr>
                <w:rFonts w:ascii="宋体" w:hAnsi="宋体" w:eastAsia="宋体"/>
                <w:sz w:val="16"/>
              </w:rPr>
              <w:t>偏差原因分析及改进措施</w:t>
            </w:r>
          </w:p>
        </w:tc>
      </w:tr>
      <w:tr w14:paraId="21EFDC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4B48D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98A9A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AB3DA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12240">
            <w:pPr>
              <w:jc w:val="center"/>
            </w:pPr>
            <w:r>
              <w:rPr>
                <w:rFonts w:ascii="宋体" w:hAnsi="宋体" w:eastAsia="宋体"/>
                <w:sz w:val="16"/>
              </w:rPr>
              <w:t>公园数量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615D6">
            <w:pPr>
              <w:jc w:val="center"/>
            </w:pPr>
            <w:r>
              <w:rPr>
                <w:rFonts w:ascii="宋体" w:hAnsi="宋体" w:eastAsia="宋体"/>
                <w:sz w:val="16"/>
              </w:rPr>
              <w:t>&lt;=3个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D28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1F6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FB9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7FE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57E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EAEAC">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5C2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697C4">
            <w:pPr>
              <w:jc w:val="center"/>
            </w:pPr>
          </w:p>
        </w:tc>
      </w:tr>
      <w:tr w14:paraId="3CF55D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4DC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39E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D26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1D558">
            <w:pPr>
              <w:jc w:val="center"/>
            </w:pPr>
            <w:r>
              <w:rPr>
                <w:rFonts w:ascii="宋体" w:hAnsi="宋体" w:eastAsia="宋体"/>
                <w:sz w:val="16"/>
              </w:rPr>
              <w:t>项目完成率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4A5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E342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625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EC5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A30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95C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F4E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1B7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924D7">
            <w:pPr>
              <w:jc w:val="center"/>
            </w:pPr>
          </w:p>
        </w:tc>
      </w:tr>
      <w:tr w14:paraId="2F9D17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CBE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453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F219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D4C22">
            <w:pPr>
              <w:jc w:val="center"/>
            </w:pPr>
            <w:r>
              <w:rPr>
                <w:rFonts w:ascii="宋体" w:hAnsi="宋体" w:eastAsia="宋体"/>
                <w:sz w:val="16"/>
              </w:rPr>
              <w:t>项目验收通过率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64B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C03E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E5B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ECB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F10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10EB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6D3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AAD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D2196">
            <w:pPr>
              <w:jc w:val="center"/>
            </w:pPr>
          </w:p>
        </w:tc>
      </w:tr>
      <w:tr w14:paraId="3780D8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429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C6F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E1E7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37322">
            <w:pPr>
              <w:jc w:val="center"/>
            </w:pPr>
            <w:r>
              <w:rPr>
                <w:rFonts w:ascii="宋体" w:hAnsi="宋体" w:eastAsia="宋体"/>
                <w:sz w:val="16"/>
              </w:rPr>
              <w:t>项目按期完成率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1BD24">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81F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5A4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624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D80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B2B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BC9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674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343B3">
            <w:pPr>
              <w:jc w:val="center"/>
            </w:pPr>
          </w:p>
        </w:tc>
      </w:tr>
      <w:tr w14:paraId="6188B9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F08D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69033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C73DB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F5A0E">
            <w:pPr>
              <w:jc w:val="center"/>
            </w:pPr>
            <w:r>
              <w:rPr>
                <w:rFonts w:ascii="宋体" w:hAnsi="宋体" w:eastAsia="宋体"/>
                <w:sz w:val="16"/>
              </w:rPr>
              <w:t>单个公园成本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BB78A">
            <w:pPr>
              <w:jc w:val="center"/>
            </w:pPr>
            <w:r>
              <w:rPr>
                <w:rFonts w:ascii="宋体" w:hAnsi="宋体" w:eastAsia="宋体"/>
                <w:sz w:val="16"/>
              </w:rPr>
              <w:t>&lt;=27.68万元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AFEF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E6E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F0D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BC8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DB4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5F4CF">
            <w:pPr>
              <w:jc w:val="center"/>
            </w:pPr>
            <w:r>
              <w:rPr>
                <w:rFonts w:ascii="宋体" w:hAnsi="宋体" w:eastAsia="宋体"/>
                <w:sz w:val="16"/>
              </w:rPr>
              <w:t>=27.68万元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ED7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852E3">
            <w:pPr>
              <w:jc w:val="center"/>
            </w:pPr>
          </w:p>
        </w:tc>
      </w:tr>
      <w:tr w14:paraId="6C4C25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C39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BBB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E7B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D87BF">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09753">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9D4B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7E7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9B7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C7D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9E4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E04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59F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D6FF2">
            <w:pPr>
              <w:jc w:val="center"/>
            </w:pPr>
          </w:p>
        </w:tc>
      </w:tr>
      <w:tr w14:paraId="2DE27B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2F6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E58E7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DD9CC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88A96">
            <w:pPr>
              <w:jc w:val="center"/>
            </w:pPr>
            <w:r>
              <w:rPr>
                <w:rFonts w:ascii="宋体" w:hAnsi="宋体" w:eastAsia="宋体"/>
                <w:sz w:val="16"/>
              </w:rPr>
              <w:t>提升群众安全感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80519">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74B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4B0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D59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FC08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A48AE">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B3992">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B25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660C3">
            <w:pPr>
              <w:jc w:val="center"/>
            </w:pPr>
          </w:p>
        </w:tc>
      </w:tr>
      <w:tr w14:paraId="19E268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456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034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0EB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D27BB">
            <w:pPr>
              <w:jc w:val="center"/>
            </w:pPr>
            <w:r>
              <w:rPr>
                <w:rFonts w:ascii="宋体" w:hAnsi="宋体" w:eastAsia="宋体"/>
                <w:sz w:val="16"/>
              </w:rPr>
              <w:t>公共实施服务人数增加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06ABE">
            <w:pPr>
              <w:jc w:val="center"/>
            </w:pPr>
            <w:r>
              <w:rPr>
                <w:rFonts w:ascii="宋体" w:hAnsi="宋体" w:eastAsia="宋体"/>
                <w:sz w:val="16"/>
              </w:rPr>
              <w:t>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9D4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446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856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4032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FEF47">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19752">
            <w:pPr>
              <w:jc w:val="center"/>
            </w:pPr>
            <w:r>
              <w:rPr>
                <w:rFonts w:ascii="宋体" w:hAnsi="宋体" w:eastAsia="宋体"/>
                <w:sz w:val="16"/>
              </w:rPr>
              <w:t>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5C7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4F27A">
            <w:pPr>
              <w:jc w:val="center"/>
            </w:pPr>
          </w:p>
        </w:tc>
      </w:tr>
      <w:tr w14:paraId="3E74C1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F97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4502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266F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E3624">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E3E8A">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DC0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D6B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CB7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1FCC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93C58">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F8B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E27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B9047">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78C0047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4FE05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4641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FFC2C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1472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53F42B0"/>
        </w:tc>
      </w:tr>
    </w:tbl>
    <w:p w14:paraId="55E2C11E">
      <w:r>
        <w:br w:type="page"/>
      </w:r>
    </w:p>
    <w:tbl>
      <w:tblPr>
        <w:tblStyle w:val="9"/>
        <w:tblW w:w="9214" w:type="dxa"/>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859"/>
        <w:gridCol w:w="11"/>
      </w:tblGrid>
      <w:tr w14:paraId="664A60C0">
        <w:tblPrEx>
          <w:tblCellMar>
            <w:top w:w="0" w:type="dxa"/>
            <w:left w:w="108" w:type="dxa"/>
            <w:bottom w:w="0" w:type="dxa"/>
            <w:right w:w="108" w:type="dxa"/>
          </w:tblCellMar>
        </w:tblPrEx>
        <w:trPr>
          <w:gridAfter w:val="1"/>
          <w:wAfter w:w="11" w:type="dxa"/>
        </w:trPr>
        <w:tc>
          <w:tcPr>
            <w:tcW w:w="9203" w:type="dxa"/>
            <w:gridSpan w:val="14"/>
            <w:vAlign w:val="center"/>
          </w:tcPr>
          <w:p w14:paraId="48AC1C1D">
            <w:pPr>
              <w:jc w:val="center"/>
            </w:pPr>
            <w:r>
              <w:rPr>
                <w:rFonts w:ascii="宋体" w:hAnsi="宋体" w:eastAsia="宋体"/>
                <w:sz w:val="24"/>
              </w:rPr>
              <w:t>项目支出绩效自评表</w:t>
            </w:r>
          </w:p>
        </w:tc>
      </w:tr>
      <w:tr w14:paraId="74535BDF">
        <w:tblPrEx>
          <w:tblCellMar>
            <w:top w:w="0" w:type="dxa"/>
            <w:left w:w="108" w:type="dxa"/>
            <w:bottom w:w="0" w:type="dxa"/>
            <w:right w:w="108" w:type="dxa"/>
          </w:tblCellMar>
        </w:tblPrEx>
        <w:trPr>
          <w:gridAfter w:val="1"/>
          <w:wAfter w:w="11" w:type="dxa"/>
        </w:trPr>
        <w:tc>
          <w:tcPr>
            <w:tcW w:w="9203" w:type="dxa"/>
            <w:gridSpan w:val="14"/>
            <w:vAlign w:val="center"/>
          </w:tcPr>
          <w:p w14:paraId="5357A24A">
            <w:pPr>
              <w:jc w:val="center"/>
            </w:pPr>
            <w:r>
              <w:rPr>
                <w:rFonts w:ascii="宋体" w:hAnsi="宋体" w:eastAsia="宋体"/>
                <w:sz w:val="24"/>
              </w:rPr>
              <w:t>(2024年度)</w:t>
            </w:r>
          </w:p>
        </w:tc>
      </w:tr>
      <w:tr w14:paraId="625B5CA0">
        <w:tblPrEx>
          <w:tblCellMar>
            <w:top w:w="0" w:type="dxa"/>
            <w:left w:w="108" w:type="dxa"/>
            <w:bottom w:w="0" w:type="dxa"/>
            <w:right w:w="108" w:type="dxa"/>
          </w:tblCellMar>
        </w:tblPrEx>
        <w:trPr>
          <w:gridAfter w:val="1"/>
          <w:wAfter w:w="11" w:type="dxa"/>
        </w:trPr>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ADBA1">
            <w:pPr>
              <w:jc w:val="center"/>
            </w:pPr>
            <w:r>
              <w:rPr>
                <w:rFonts w:ascii="宋体" w:hAnsi="宋体" w:eastAsia="宋体"/>
                <w:sz w:val="16"/>
              </w:rPr>
              <w:t>项目名称</w:t>
            </w:r>
          </w:p>
        </w:tc>
        <w:tc>
          <w:tcPr>
            <w:tcW w:w="8571"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B435F0">
            <w:pPr>
              <w:jc w:val="center"/>
            </w:pPr>
            <w:r>
              <w:rPr>
                <w:rFonts w:ascii="宋体" w:hAnsi="宋体" w:eastAsia="宋体"/>
                <w:sz w:val="16"/>
              </w:rPr>
              <w:t>招商引资项目</w:t>
            </w:r>
          </w:p>
        </w:tc>
      </w:tr>
      <w:tr w14:paraId="7937D4A4">
        <w:tblPrEx>
          <w:tblCellMar>
            <w:top w:w="0" w:type="dxa"/>
            <w:left w:w="108" w:type="dxa"/>
            <w:bottom w:w="0" w:type="dxa"/>
            <w:right w:w="108" w:type="dxa"/>
          </w:tblCellMar>
        </w:tblPrEx>
        <w:trPr>
          <w:gridAfter w:val="1"/>
          <w:wAfter w:w="11" w:type="dxa"/>
        </w:trPr>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9FFF5">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9149EF">
            <w:pPr>
              <w:jc w:val="center"/>
            </w:pPr>
            <w:r>
              <w:rPr>
                <w:rFonts w:ascii="宋体" w:hAnsi="宋体" w:eastAsia="宋体"/>
                <w:sz w:val="16"/>
              </w:rPr>
              <w:t>城东金融贸易区管理服务中心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8DB6C">
            <w:pPr>
              <w:jc w:val="center"/>
            </w:pPr>
            <w:r>
              <w:rPr>
                <w:rFonts w:ascii="宋体" w:hAnsi="宋体" w:eastAsia="宋体"/>
                <w:sz w:val="16"/>
              </w:rPr>
              <w:t>实施单位</w:t>
            </w:r>
          </w:p>
        </w:tc>
        <w:tc>
          <w:tcPr>
            <w:tcW w:w="345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828D56">
            <w:pPr>
              <w:jc w:val="center"/>
            </w:pPr>
            <w:r>
              <w:rPr>
                <w:rFonts w:ascii="宋体" w:hAnsi="宋体" w:eastAsia="宋体"/>
                <w:sz w:val="16"/>
              </w:rPr>
              <w:t>城东金融贸易区管理服务中心</w:t>
            </w:r>
          </w:p>
        </w:tc>
      </w:tr>
      <w:tr w14:paraId="59C44177">
        <w:tblPrEx>
          <w:tblCellMar>
            <w:top w:w="0" w:type="dxa"/>
            <w:left w:w="108" w:type="dxa"/>
            <w:bottom w:w="0" w:type="dxa"/>
            <w:right w:w="108" w:type="dxa"/>
          </w:tblCellMar>
        </w:tblPrEx>
        <w:trPr>
          <w:gridAfter w:val="1"/>
          <w:wAfter w:w="11" w:type="dxa"/>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9DFCE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D9D33">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F573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5B8D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5DC1A">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DE82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BF58F">
            <w:pPr>
              <w:jc w:val="center"/>
            </w:pPr>
            <w:r>
              <w:rPr>
                <w:rFonts w:ascii="宋体" w:hAnsi="宋体" w:eastAsia="宋体"/>
                <w:sz w:val="16"/>
              </w:rPr>
              <w:t>执行率</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49CB22FB">
            <w:pPr>
              <w:jc w:val="center"/>
            </w:pPr>
            <w:r>
              <w:rPr>
                <w:rFonts w:ascii="宋体" w:hAnsi="宋体" w:eastAsia="宋体"/>
                <w:sz w:val="16"/>
              </w:rPr>
              <w:t>得分</w:t>
            </w:r>
          </w:p>
        </w:tc>
      </w:tr>
      <w:tr w14:paraId="2EBCA783">
        <w:tblPrEx>
          <w:tblCellMar>
            <w:top w:w="0" w:type="dxa"/>
            <w:left w:w="108" w:type="dxa"/>
            <w:bottom w:w="0" w:type="dxa"/>
            <w:right w:w="108" w:type="dxa"/>
          </w:tblCellMar>
        </w:tblPrEx>
        <w:trPr>
          <w:gridAfter w:val="1"/>
          <w:wAfter w:w="11"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C27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4BD80">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B4E28">
            <w:pPr>
              <w:jc w:val="center"/>
            </w:pPr>
            <w:r>
              <w:rPr>
                <w:rFonts w:ascii="宋体" w:hAnsi="宋体" w:eastAsia="宋体"/>
                <w:sz w:val="16"/>
              </w:rPr>
              <w:t>52.00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831D3">
            <w:pPr>
              <w:jc w:val="center"/>
            </w:pPr>
            <w:r>
              <w:rPr>
                <w:rFonts w:ascii="宋体" w:hAnsi="宋体" w:eastAsia="宋体"/>
                <w:sz w:val="16"/>
              </w:rPr>
              <w:t>21.60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63746">
            <w:pPr>
              <w:jc w:val="center"/>
            </w:pPr>
            <w:r>
              <w:rPr>
                <w:rFonts w:ascii="宋体" w:hAnsi="宋体" w:eastAsia="宋体"/>
                <w:sz w:val="16"/>
              </w:rPr>
              <w:t>17.86</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98F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A3514">
            <w:pPr>
              <w:jc w:val="center"/>
            </w:pPr>
            <w:r>
              <w:rPr>
                <w:rFonts w:ascii="宋体" w:hAnsi="宋体" w:eastAsia="宋体"/>
                <w:sz w:val="16"/>
              </w:rPr>
              <w:t>82.7%</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1C27393C">
            <w:pPr>
              <w:jc w:val="center"/>
            </w:pPr>
            <w:r>
              <w:rPr>
                <w:rFonts w:ascii="宋体" w:hAnsi="宋体" w:eastAsia="宋体"/>
                <w:sz w:val="16"/>
              </w:rPr>
              <w:t>5.67分</w:t>
            </w:r>
          </w:p>
        </w:tc>
      </w:tr>
      <w:tr w14:paraId="623AA708">
        <w:tblPrEx>
          <w:tblCellMar>
            <w:top w:w="0" w:type="dxa"/>
            <w:left w:w="108" w:type="dxa"/>
            <w:bottom w:w="0" w:type="dxa"/>
            <w:right w:w="108" w:type="dxa"/>
          </w:tblCellMar>
        </w:tblPrEx>
        <w:trPr>
          <w:gridAfter w:val="1"/>
          <w:wAfter w:w="11"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AF6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2F2F2">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F86D7">
            <w:pPr>
              <w:jc w:val="center"/>
            </w:pPr>
            <w:r>
              <w:rPr>
                <w:rFonts w:ascii="宋体" w:hAnsi="宋体" w:eastAsia="宋体"/>
                <w:sz w:val="16"/>
              </w:rPr>
              <w:t>52.00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EFA85">
            <w:pPr>
              <w:jc w:val="center"/>
            </w:pPr>
            <w:r>
              <w:rPr>
                <w:rFonts w:ascii="宋体" w:hAnsi="宋体" w:eastAsia="宋体"/>
                <w:sz w:val="16"/>
              </w:rPr>
              <w:t>21.60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A349C">
            <w:pPr>
              <w:jc w:val="center"/>
            </w:pPr>
            <w:r>
              <w:rPr>
                <w:rFonts w:ascii="宋体" w:hAnsi="宋体" w:eastAsia="宋体"/>
                <w:sz w:val="16"/>
              </w:rPr>
              <w:t>17.86</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FFA6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DA88F">
            <w:pPr>
              <w:jc w:val="center"/>
            </w:pPr>
            <w:r>
              <w:rPr>
                <w:rFonts w:ascii="宋体" w:hAnsi="宋体" w:eastAsia="宋体"/>
                <w:sz w:val="16"/>
              </w:rPr>
              <w:t>—</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75079F3A">
            <w:pPr>
              <w:jc w:val="center"/>
            </w:pPr>
            <w:r>
              <w:rPr>
                <w:rFonts w:ascii="宋体" w:hAnsi="宋体" w:eastAsia="宋体"/>
                <w:sz w:val="16"/>
              </w:rPr>
              <w:t>—</w:t>
            </w:r>
          </w:p>
        </w:tc>
      </w:tr>
      <w:tr w14:paraId="4CE0DAAF">
        <w:tblPrEx>
          <w:tblCellMar>
            <w:top w:w="0" w:type="dxa"/>
            <w:left w:w="108" w:type="dxa"/>
            <w:bottom w:w="0" w:type="dxa"/>
            <w:right w:w="108" w:type="dxa"/>
          </w:tblCellMar>
        </w:tblPrEx>
        <w:trPr>
          <w:gridAfter w:val="1"/>
          <w:wAfter w:w="11"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1E6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8FCF1">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F72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DA3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8CFFB">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501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A1D64">
            <w:pPr>
              <w:jc w:val="center"/>
            </w:pPr>
            <w:r>
              <w:rPr>
                <w:rFonts w:ascii="宋体" w:hAnsi="宋体" w:eastAsia="宋体"/>
                <w:sz w:val="16"/>
              </w:rPr>
              <w:t>—</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13416DDB">
            <w:pPr>
              <w:jc w:val="center"/>
            </w:pPr>
            <w:r>
              <w:rPr>
                <w:rFonts w:ascii="宋体" w:hAnsi="宋体" w:eastAsia="宋体"/>
                <w:sz w:val="16"/>
              </w:rPr>
              <w:t>—</w:t>
            </w:r>
          </w:p>
        </w:tc>
      </w:tr>
      <w:tr w14:paraId="4CC6E7E8">
        <w:tblPrEx>
          <w:tblCellMar>
            <w:top w:w="0" w:type="dxa"/>
            <w:left w:w="108" w:type="dxa"/>
            <w:bottom w:w="0" w:type="dxa"/>
            <w:right w:w="108" w:type="dxa"/>
          </w:tblCellMar>
        </w:tblPrEx>
        <w:trPr>
          <w:gridAfter w:val="1"/>
          <w:wAfter w:w="11" w:type="dxa"/>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B569EA">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92792D">
            <w:pPr>
              <w:jc w:val="center"/>
            </w:pPr>
            <w:r>
              <w:rPr>
                <w:rFonts w:ascii="宋体" w:hAnsi="宋体" w:eastAsia="宋体"/>
                <w:sz w:val="16"/>
              </w:rPr>
              <w:t>预期目标</w:t>
            </w:r>
          </w:p>
        </w:tc>
        <w:tc>
          <w:tcPr>
            <w:tcW w:w="4083"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BF538C">
            <w:pPr>
              <w:jc w:val="center"/>
            </w:pPr>
            <w:r>
              <w:rPr>
                <w:rFonts w:ascii="宋体" w:hAnsi="宋体" w:eastAsia="宋体"/>
                <w:sz w:val="16"/>
              </w:rPr>
              <w:t>实际完成情况</w:t>
            </w:r>
          </w:p>
        </w:tc>
      </w:tr>
      <w:tr w14:paraId="4E019A62">
        <w:tblPrEx>
          <w:tblCellMar>
            <w:top w:w="0" w:type="dxa"/>
            <w:left w:w="108" w:type="dxa"/>
            <w:bottom w:w="0" w:type="dxa"/>
            <w:right w:w="108" w:type="dxa"/>
          </w:tblCellMar>
        </w:tblPrEx>
        <w:trPr>
          <w:gridAfter w:val="1"/>
          <w:wAfter w:w="11"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3B331"/>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D1EDF0">
            <w:pPr>
              <w:jc w:val="both"/>
            </w:pPr>
            <w:r>
              <w:rPr>
                <w:rFonts w:ascii="宋体" w:hAnsi="宋体" w:eastAsia="宋体"/>
                <w:sz w:val="16"/>
              </w:rPr>
              <w:t>项目总投资21.6万元，该项目主要包括城东中心差旅费（10人）、举办招商推介会10次，用于保障城东金融贸易区招商引资工作正常运转，从而提升贸易区知名度。</w:t>
            </w:r>
          </w:p>
        </w:tc>
        <w:tc>
          <w:tcPr>
            <w:tcW w:w="4083"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FAE10E">
            <w:pPr>
              <w:jc w:val="both"/>
            </w:pPr>
            <w:r>
              <w:rPr>
                <w:rFonts w:hint="eastAsia" w:ascii="宋体" w:hAnsi="宋体"/>
                <w:sz w:val="16"/>
                <w:lang w:eastAsia="zh-CN"/>
              </w:rPr>
              <w:t>截至</w:t>
            </w:r>
            <w:r>
              <w:rPr>
                <w:rFonts w:ascii="宋体" w:hAnsi="宋体" w:eastAsia="宋体"/>
                <w:sz w:val="16"/>
              </w:rPr>
              <w:t>2024年12月31日，项目预算数21.6万元，全年执行数17.86，执行率82.7%，主要用于城东中心差旅费、举办招商推介会，其中出差人数10人，举办推介会次数10次，支付招商引资差旅费、接待费及宣传费15.86万元，支付驻点招商费用2万元，从而推动了招商引资工作，提升了贸易区知名度，参会人员满意度达到了100%。</w:t>
            </w:r>
          </w:p>
        </w:tc>
      </w:tr>
      <w:tr w14:paraId="63D380C2">
        <w:tblPrEx>
          <w:tblCellMar>
            <w:top w:w="0" w:type="dxa"/>
            <w:left w:w="108" w:type="dxa"/>
            <w:bottom w:w="0" w:type="dxa"/>
            <w:right w:w="108" w:type="dxa"/>
          </w:tblCellMar>
        </w:tblPrEx>
        <w:trPr>
          <w:gridAfter w:val="1"/>
          <w:wAfter w:w="11" w:type="dxa"/>
        </w:trPr>
        <w:tc>
          <w:tcPr>
            <w:tcW w:w="632" w:type="dxa"/>
            <w:tcBorders>
              <w:top w:val="single" w:color="auto" w:sz="10" w:space="0"/>
              <w:left w:val="single" w:color="auto" w:sz="10" w:space="0"/>
              <w:bottom w:val="single" w:color="auto" w:sz="10" w:space="0"/>
              <w:right w:val="single" w:color="auto" w:sz="10" w:space="0"/>
              <w:insideV w:val="single" w:sz="10" w:space="0"/>
            </w:tcBorders>
          </w:tcPr>
          <w:p w14:paraId="5F778C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FADB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251F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14510">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B57DD8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3711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8557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0E39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FAC3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F559B">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F0EBA0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E6C01">
            <w:pPr>
              <w:jc w:val="center"/>
            </w:pPr>
            <w:r>
              <w:rPr>
                <w:rFonts w:ascii="宋体" w:hAnsi="宋体" w:eastAsia="宋体"/>
                <w:sz w:val="16"/>
              </w:rPr>
              <w:t>得分</w:t>
            </w:r>
          </w:p>
        </w:tc>
        <w:tc>
          <w:tcPr>
            <w:tcW w:w="14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78634">
            <w:pPr>
              <w:jc w:val="center"/>
            </w:pPr>
            <w:r>
              <w:rPr>
                <w:rFonts w:ascii="宋体" w:hAnsi="宋体" w:eastAsia="宋体"/>
                <w:sz w:val="16"/>
              </w:rPr>
              <w:t>偏差原因分析及改进措施</w:t>
            </w:r>
          </w:p>
        </w:tc>
      </w:tr>
      <w:tr w14:paraId="30DDF117">
        <w:tblPrEx>
          <w:tblCellMar>
            <w:top w:w="0" w:type="dxa"/>
            <w:left w:w="108" w:type="dxa"/>
            <w:bottom w:w="0" w:type="dxa"/>
            <w:right w:w="108" w:type="dxa"/>
          </w:tblCellMar>
        </w:tblPrEx>
        <w:trPr>
          <w:gridAfter w:val="1"/>
          <w:wAfter w:w="11" w:type="dxa"/>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29C97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CFF10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0FE4E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B2701">
            <w:pPr>
              <w:jc w:val="center"/>
            </w:pPr>
            <w:r>
              <w:rPr>
                <w:rFonts w:ascii="宋体" w:hAnsi="宋体" w:eastAsia="宋体"/>
                <w:sz w:val="16"/>
              </w:rPr>
              <w:t>出差人数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C24CF2">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56D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1B1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BF23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25C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3ACDE">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421452">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137A7">
            <w:pPr>
              <w:jc w:val="center"/>
            </w:pPr>
            <w:r>
              <w:rPr>
                <w:rFonts w:ascii="宋体" w:hAnsi="宋体" w:eastAsia="宋体"/>
                <w:sz w:val="16"/>
              </w:rPr>
              <w:t>8</w:t>
            </w:r>
          </w:p>
        </w:tc>
        <w:tc>
          <w:tcPr>
            <w:tcW w:w="14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5EEF0">
            <w:pPr>
              <w:jc w:val="center"/>
            </w:pPr>
          </w:p>
        </w:tc>
      </w:tr>
      <w:tr w14:paraId="717D3813">
        <w:tblPrEx>
          <w:tblCellMar>
            <w:top w:w="0" w:type="dxa"/>
            <w:left w:w="108" w:type="dxa"/>
            <w:bottom w:w="0" w:type="dxa"/>
            <w:right w:w="108" w:type="dxa"/>
          </w:tblCellMar>
        </w:tblPrEx>
        <w:trPr>
          <w:gridAfter w:val="1"/>
          <w:wAfter w:w="11"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44F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2A7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14F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F5BCF">
            <w:pPr>
              <w:jc w:val="center"/>
            </w:pPr>
            <w:r>
              <w:rPr>
                <w:rFonts w:ascii="宋体" w:hAnsi="宋体" w:eastAsia="宋体"/>
                <w:sz w:val="16"/>
              </w:rPr>
              <w:t>举办推介会次数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EE6D85">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D9F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1E4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F381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DC0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2D4EC">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08305F1">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C067C">
            <w:pPr>
              <w:jc w:val="center"/>
            </w:pPr>
            <w:r>
              <w:rPr>
                <w:rFonts w:ascii="宋体" w:hAnsi="宋体" w:eastAsia="宋体"/>
                <w:sz w:val="16"/>
              </w:rPr>
              <w:t>8</w:t>
            </w:r>
          </w:p>
        </w:tc>
        <w:tc>
          <w:tcPr>
            <w:tcW w:w="14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A8800">
            <w:pPr>
              <w:jc w:val="center"/>
            </w:pPr>
          </w:p>
        </w:tc>
      </w:tr>
      <w:tr w14:paraId="187DA153">
        <w:tblPrEx>
          <w:tblCellMar>
            <w:top w:w="0" w:type="dxa"/>
            <w:left w:w="108" w:type="dxa"/>
            <w:bottom w:w="0" w:type="dxa"/>
            <w:right w:w="108" w:type="dxa"/>
          </w:tblCellMar>
        </w:tblPrEx>
        <w:trPr>
          <w:gridAfter w:val="1"/>
          <w:wAfter w:w="11"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FC3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D45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97D6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A6D11">
            <w:pPr>
              <w:jc w:val="center"/>
            </w:pPr>
            <w:r>
              <w:rPr>
                <w:rFonts w:ascii="宋体" w:hAnsi="宋体" w:eastAsia="宋体"/>
                <w:sz w:val="16"/>
              </w:rPr>
              <w:t>报销合规率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863F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6AF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1CA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505B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45C2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65BD5">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440A9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E3B62">
            <w:pPr>
              <w:jc w:val="center"/>
            </w:pPr>
            <w:r>
              <w:rPr>
                <w:rFonts w:ascii="宋体" w:hAnsi="宋体" w:eastAsia="宋体"/>
                <w:sz w:val="16"/>
              </w:rPr>
              <w:t>8</w:t>
            </w:r>
          </w:p>
        </w:tc>
        <w:tc>
          <w:tcPr>
            <w:tcW w:w="14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33BF1">
            <w:pPr>
              <w:jc w:val="center"/>
            </w:pPr>
          </w:p>
        </w:tc>
      </w:tr>
      <w:tr w14:paraId="1C713E02">
        <w:tblPrEx>
          <w:tblCellMar>
            <w:top w:w="0" w:type="dxa"/>
            <w:left w:w="108" w:type="dxa"/>
            <w:bottom w:w="0" w:type="dxa"/>
            <w:right w:w="108" w:type="dxa"/>
          </w:tblCellMar>
        </w:tblPrEx>
        <w:trPr>
          <w:gridAfter w:val="1"/>
          <w:wAfter w:w="11"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10E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7F6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53EED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B24B3">
            <w:pPr>
              <w:jc w:val="center"/>
            </w:pPr>
            <w:r>
              <w:rPr>
                <w:rFonts w:ascii="宋体" w:hAnsi="宋体" w:eastAsia="宋体"/>
                <w:sz w:val="16"/>
              </w:rPr>
              <w:t>项目完成时间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895452C">
            <w:pPr>
              <w:jc w:val="center"/>
            </w:pPr>
            <w:r>
              <w:rPr>
                <w:rFonts w:ascii="宋体" w:hAnsi="宋体" w:eastAsia="宋体"/>
                <w:sz w:val="16"/>
              </w:rPr>
              <w:t>=2024年11月16日前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6AB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BD8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B7EB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F28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AD775">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FF9A2D">
            <w:pPr>
              <w:jc w:val="center"/>
            </w:pPr>
            <w:r>
              <w:rPr>
                <w:rFonts w:ascii="宋体" w:hAnsi="宋体" w:eastAsia="宋体"/>
                <w:sz w:val="16"/>
              </w:rPr>
              <w:t>=2024年11月15日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4F173">
            <w:pPr>
              <w:jc w:val="center"/>
            </w:pPr>
            <w:r>
              <w:rPr>
                <w:rFonts w:ascii="宋体" w:hAnsi="宋体" w:eastAsia="宋体"/>
                <w:sz w:val="16"/>
              </w:rPr>
              <w:t>8</w:t>
            </w:r>
          </w:p>
        </w:tc>
        <w:tc>
          <w:tcPr>
            <w:tcW w:w="14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5732C">
            <w:pPr>
              <w:jc w:val="center"/>
            </w:pPr>
          </w:p>
        </w:tc>
      </w:tr>
      <w:tr w14:paraId="6F1B42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942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3CC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96D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22B6A">
            <w:pPr>
              <w:jc w:val="center"/>
            </w:pPr>
            <w:r>
              <w:rPr>
                <w:rFonts w:ascii="宋体" w:hAnsi="宋体" w:eastAsia="宋体"/>
                <w:sz w:val="16"/>
              </w:rPr>
              <w:t>项目完成及时率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D428F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3BE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27B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91F6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8B47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C1D53">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C096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D1D32">
            <w:pPr>
              <w:jc w:val="center"/>
            </w:pPr>
            <w:r>
              <w:rPr>
                <w:rFonts w:ascii="宋体" w:hAnsi="宋体" w:eastAsia="宋体"/>
                <w:sz w:val="16"/>
              </w:rPr>
              <w:t>8</w:t>
            </w:r>
          </w:p>
        </w:tc>
        <w:tc>
          <w:tcPr>
            <w:tcW w:w="150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7D829C">
            <w:pPr>
              <w:jc w:val="center"/>
            </w:pPr>
          </w:p>
        </w:tc>
      </w:tr>
      <w:tr w14:paraId="042E58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3360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58FC9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718E8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753EB">
            <w:pPr>
              <w:jc w:val="center"/>
            </w:pPr>
            <w:r>
              <w:rPr>
                <w:rFonts w:ascii="宋体" w:hAnsi="宋体" w:eastAsia="宋体"/>
                <w:sz w:val="16"/>
              </w:rPr>
              <w:t>招商引资差旅费、接待费及宣传费</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080E26">
            <w:pPr>
              <w:jc w:val="center"/>
            </w:pPr>
            <w:r>
              <w:rPr>
                <w:rFonts w:ascii="宋体" w:hAnsi="宋体" w:eastAsia="宋体"/>
                <w:sz w:val="16"/>
              </w:rPr>
              <w:t>&lt;=19.6万元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B095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7E6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4EC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3CB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32099">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E0947FC">
            <w:pPr>
              <w:jc w:val="center"/>
            </w:pPr>
            <w:r>
              <w:rPr>
                <w:rFonts w:ascii="宋体" w:hAnsi="宋体" w:eastAsia="宋体"/>
                <w:sz w:val="16"/>
              </w:rPr>
              <w:t>=15.86万元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C9E3D">
            <w:pPr>
              <w:jc w:val="center"/>
            </w:pPr>
            <w:r>
              <w:rPr>
                <w:rFonts w:ascii="宋体" w:hAnsi="宋体" w:eastAsia="宋体"/>
                <w:sz w:val="16"/>
              </w:rPr>
              <w:t>5.23</w:t>
            </w:r>
          </w:p>
        </w:tc>
        <w:tc>
          <w:tcPr>
            <w:tcW w:w="150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74FC71">
            <w:pPr>
              <w:jc w:val="center"/>
            </w:pPr>
            <w:r>
              <w:rPr>
                <w:rFonts w:ascii="宋体" w:hAnsi="宋体" w:eastAsia="宋体"/>
                <w:sz w:val="16"/>
              </w:rPr>
              <w:t>项目初期，招商引资差旅费、接待费及宣传费实际资金需求的掌握存在偏差，导致预期值设置偏高。改进措施：深入分析，更好地把握和预测项目实际资金需求，避免出现偏差。</w:t>
            </w:r>
          </w:p>
        </w:tc>
      </w:tr>
      <w:tr w14:paraId="39ABA6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C8A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5D7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E7B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0A203">
            <w:pPr>
              <w:jc w:val="center"/>
            </w:pPr>
            <w:r>
              <w:rPr>
                <w:rFonts w:ascii="宋体" w:hAnsi="宋体" w:eastAsia="宋体"/>
                <w:sz w:val="16"/>
              </w:rPr>
              <w:t>驻点招商费用</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320852">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943A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102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EFC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5FE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63C94">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496EBAF">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41A5F">
            <w:pPr>
              <w:jc w:val="center"/>
            </w:pPr>
            <w:r>
              <w:rPr>
                <w:rFonts w:ascii="宋体" w:hAnsi="宋体" w:eastAsia="宋体"/>
                <w:sz w:val="16"/>
              </w:rPr>
              <w:t>10</w:t>
            </w:r>
          </w:p>
        </w:tc>
        <w:tc>
          <w:tcPr>
            <w:tcW w:w="150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6438488">
            <w:pPr>
              <w:jc w:val="center"/>
            </w:pPr>
          </w:p>
        </w:tc>
      </w:tr>
      <w:tr w14:paraId="3A9DC4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377D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C58D9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38964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6642F">
            <w:pPr>
              <w:jc w:val="center"/>
            </w:pPr>
            <w:r>
              <w:rPr>
                <w:rFonts w:ascii="宋体" w:hAnsi="宋体" w:eastAsia="宋体"/>
                <w:sz w:val="16"/>
              </w:rPr>
              <w:t>提升贸易区知名度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E4983D8">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C84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048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DB8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AF07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1A492">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58C199">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A9B9E">
            <w:pPr>
              <w:jc w:val="center"/>
            </w:pPr>
            <w:r>
              <w:rPr>
                <w:rFonts w:ascii="宋体" w:hAnsi="宋体" w:eastAsia="宋体"/>
                <w:sz w:val="16"/>
              </w:rPr>
              <w:t>10</w:t>
            </w:r>
          </w:p>
        </w:tc>
        <w:tc>
          <w:tcPr>
            <w:tcW w:w="150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1CC4CCA">
            <w:pPr>
              <w:jc w:val="center"/>
            </w:pPr>
          </w:p>
        </w:tc>
      </w:tr>
      <w:tr w14:paraId="2C39CC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73B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7CB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F6A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904D2">
            <w:pPr>
              <w:jc w:val="center"/>
            </w:pPr>
            <w:r>
              <w:rPr>
                <w:rFonts w:ascii="宋体" w:hAnsi="宋体" w:eastAsia="宋体"/>
                <w:sz w:val="16"/>
              </w:rPr>
              <w:t>推动招商引资工作</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B808EB">
            <w:pPr>
              <w:jc w:val="center"/>
            </w:pPr>
            <w:r>
              <w:rPr>
                <w:rFonts w:ascii="宋体" w:hAnsi="宋体" w:eastAsia="宋体"/>
                <w:sz w:val="16"/>
              </w:rPr>
              <w:t>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84E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F69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6F4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628A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30533">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617B84A">
            <w:pPr>
              <w:jc w:val="center"/>
            </w:pPr>
            <w:r>
              <w:rPr>
                <w:rFonts w:ascii="宋体" w:hAnsi="宋体" w:eastAsia="宋体"/>
                <w:sz w:val="16"/>
              </w:rPr>
              <w:t>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21EA6">
            <w:pPr>
              <w:jc w:val="center"/>
            </w:pPr>
            <w:r>
              <w:rPr>
                <w:rFonts w:ascii="宋体" w:hAnsi="宋体" w:eastAsia="宋体"/>
                <w:sz w:val="16"/>
              </w:rPr>
              <w:t>10</w:t>
            </w:r>
          </w:p>
        </w:tc>
        <w:tc>
          <w:tcPr>
            <w:tcW w:w="150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5A8A01">
            <w:pPr>
              <w:jc w:val="center"/>
            </w:pPr>
          </w:p>
        </w:tc>
      </w:tr>
      <w:tr w14:paraId="66613E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F2E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06F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2DF5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8D927">
            <w:pPr>
              <w:jc w:val="center"/>
            </w:pPr>
            <w:r>
              <w:rPr>
                <w:rFonts w:ascii="宋体" w:hAnsi="宋体" w:eastAsia="宋体"/>
                <w:sz w:val="16"/>
              </w:rPr>
              <w:t>参会人员满意度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9E500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D81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7E7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9A5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F682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C773B">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B667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DFFA1">
            <w:pPr>
              <w:jc w:val="center"/>
            </w:pPr>
            <w:r>
              <w:rPr>
                <w:rFonts w:ascii="宋体" w:hAnsi="宋体" w:eastAsia="宋体"/>
                <w:sz w:val="16"/>
              </w:rPr>
              <w:t>10</w:t>
            </w:r>
          </w:p>
        </w:tc>
        <w:tc>
          <w:tcPr>
            <w:tcW w:w="150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0E49D33">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496ECBBA">
        <w:tblPrEx>
          <w:tblCellMar>
            <w:top w:w="0" w:type="dxa"/>
            <w:left w:w="108" w:type="dxa"/>
            <w:bottom w:w="0" w:type="dxa"/>
            <w:right w:w="108" w:type="dxa"/>
          </w:tblCellMar>
        </w:tblPrEx>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EA33A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0FB96">
            <w:pPr>
              <w:jc w:val="center"/>
            </w:pPr>
            <w:r>
              <w:rPr>
                <w:rFonts w:ascii="宋体" w:hAnsi="宋体" w:eastAsia="宋体"/>
                <w:sz w:val="16"/>
              </w:rPr>
              <w:t>100</w:t>
            </w:r>
          </w:p>
        </w:tc>
        <w:tc>
          <w:tcPr>
            <w:tcW w:w="1960" w:type="dxa"/>
            <w:gridSpan w:val="3"/>
            <w:tcBorders>
              <w:top w:val="single" w:color="auto" w:sz="10" w:space="0"/>
              <w:left w:val="single" w:color="auto" w:sz="10" w:space="0"/>
              <w:bottom w:val="single" w:color="auto" w:sz="10" w:space="0"/>
              <w:right w:val="single" w:color="auto" w:sz="10" w:space="0"/>
              <w:insideV w:val="single" w:sz="10" w:space="0"/>
            </w:tcBorders>
          </w:tcPr>
          <w:p w14:paraId="1D73B1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4429B">
            <w:pPr>
              <w:jc w:val="center"/>
            </w:pPr>
            <w:r>
              <w:rPr>
                <w:rFonts w:ascii="宋体" w:hAnsi="宋体" w:eastAsia="宋体"/>
                <w:sz w:val="16"/>
              </w:rPr>
              <w:t>90.9分</w:t>
            </w:r>
          </w:p>
        </w:tc>
        <w:tc>
          <w:tcPr>
            <w:tcW w:w="1502" w:type="dxa"/>
            <w:gridSpan w:val="3"/>
            <w:tcBorders>
              <w:top w:val="single" w:color="auto" w:sz="10" w:space="0"/>
              <w:left w:val="single" w:color="auto" w:sz="10" w:space="0"/>
              <w:bottom w:val="single" w:color="auto" w:sz="10" w:space="0"/>
              <w:right w:val="single" w:color="auto" w:sz="10" w:space="0"/>
              <w:insideV w:val="single" w:sz="10" w:space="0"/>
            </w:tcBorders>
          </w:tcPr>
          <w:p w14:paraId="700F485A"/>
        </w:tc>
      </w:tr>
    </w:tbl>
    <w:p w14:paraId="040109C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7F46A900">
        <w:tblPrEx>
          <w:tblCellMar>
            <w:top w:w="0" w:type="dxa"/>
            <w:left w:w="108" w:type="dxa"/>
            <w:bottom w:w="0" w:type="dxa"/>
            <w:right w:w="108" w:type="dxa"/>
          </w:tblCellMar>
        </w:tblPrEx>
        <w:tc>
          <w:tcPr>
            <w:tcW w:w="8848" w:type="dxa"/>
            <w:gridSpan w:val="14"/>
            <w:vAlign w:val="center"/>
          </w:tcPr>
          <w:p w14:paraId="25AE2E14">
            <w:pPr>
              <w:jc w:val="center"/>
            </w:pPr>
            <w:r>
              <w:rPr>
                <w:rFonts w:ascii="宋体" w:hAnsi="宋体" w:eastAsia="宋体"/>
                <w:sz w:val="24"/>
              </w:rPr>
              <w:t>项目支出绩效自评表</w:t>
            </w:r>
          </w:p>
        </w:tc>
      </w:tr>
      <w:tr w14:paraId="07F0FC76">
        <w:tblPrEx>
          <w:tblCellMar>
            <w:top w:w="0" w:type="dxa"/>
            <w:left w:w="108" w:type="dxa"/>
            <w:bottom w:w="0" w:type="dxa"/>
            <w:right w:w="108" w:type="dxa"/>
          </w:tblCellMar>
        </w:tblPrEx>
        <w:tc>
          <w:tcPr>
            <w:tcW w:w="8848" w:type="dxa"/>
            <w:gridSpan w:val="14"/>
            <w:vAlign w:val="center"/>
          </w:tcPr>
          <w:p w14:paraId="67441BFA">
            <w:pPr>
              <w:jc w:val="center"/>
            </w:pPr>
            <w:r>
              <w:rPr>
                <w:rFonts w:ascii="宋体" w:hAnsi="宋体" w:eastAsia="宋体"/>
                <w:sz w:val="24"/>
              </w:rPr>
              <w:t>(2024年度)</w:t>
            </w:r>
          </w:p>
        </w:tc>
      </w:tr>
      <w:tr w14:paraId="0BDB10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43A2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F0E63B">
            <w:pPr>
              <w:jc w:val="center"/>
            </w:pPr>
            <w:r>
              <w:rPr>
                <w:rFonts w:ascii="宋体" w:hAnsi="宋体" w:eastAsia="宋体"/>
                <w:sz w:val="16"/>
              </w:rPr>
              <w:t>项目尾款项目</w:t>
            </w:r>
          </w:p>
        </w:tc>
      </w:tr>
      <w:tr w14:paraId="790BB5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C7F6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44C2E4">
            <w:pPr>
              <w:jc w:val="center"/>
            </w:pPr>
            <w:r>
              <w:rPr>
                <w:rFonts w:ascii="宋体" w:hAnsi="宋体" w:eastAsia="宋体"/>
                <w:sz w:val="16"/>
              </w:rPr>
              <w:t>城东金融贸易区管理服务中心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AC25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E8B30E">
            <w:pPr>
              <w:jc w:val="center"/>
            </w:pPr>
            <w:r>
              <w:rPr>
                <w:rFonts w:ascii="宋体" w:hAnsi="宋体" w:eastAsia="宋体"/>
                <w:sz w:val="16"/>
              </w:rPr>
              <w:t>城东金融贸易区管理服务中心</w:t>
            </w:r>
          </w:p>
        </w:tc>
      </w:tr>
      <w:tr w14:paraId="40FACA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B1E78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5A11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640B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8E98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A870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0D49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D26A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66F0D">
            <w:pPr>
              <w:jc w:val="center"/>
            </w:pPr>
            <w:r>
              <w:rPr>
                <w:rFonts w:ascii="宋体" w:hAnsi="宋体" w:eastAsia="宋体"/>
                <w:sz w:val="16"/>
              </w:rPr>
              <w:t>得分</w:t>
            </w:r>
          </w:p>
        </w:tc>
      </w:tr>
      <w:tr w14:paraId="116A0A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E6A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2866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89CEA">
            <w:pPr>
              <w:jc w:val="center"/>
            </w:pPr>
            <w:r>
              <w:rPr>
                <w:rFonts w:ascii="宋体" w:hAnsi="宋体" w:eastAsia="宋体"/>
                <w:sz w:val="16"/>
              </w:rPr>
              <w:t>218.74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6DB66">
            <w:pPr>
              <w:jc w:val="center"/>
            </w:pPr>
            <w:r>
              <w:rPr>
                <w:rFonts w:ascii="宋体" w:hAnsi="宋体" w:eastAsia="宋体"/>
                <w:sz w:val="16"/>
              </w:rPr>
              <w:t>218.74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765D8">
            <w:pPr>
              <w:jc w:val="center"/>
            </w:pPr>
            <w:r>
              <w:rPr>
                <w:rFonts w:ascii="宋体" w:hAnsi="宋体" w:eastAsia="宋体"/>
                <w:sz w:val="16"/>
              </w:rPr>
              <w:t>161.72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E14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072CC">
            <w:pPr>
              <w:jc w:val="center"/>
            </w:pPr>
            <w:r>
              <w:rPr>
                <w:rFonts w:ascii="宋体" w:hAnsi="宋体" w:eastAsia="宋体"/>
                <w:sz w:val="16"/>
              </w:rPr>
              <w:t>73.9%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8838E">
            <w:pPr>
              <w:jc w:val="center"/>
            </w:pPr>
            <w:r>
              <w:rPr>
                <w:rFonts w:ascii="宋体" w:hAnsi="宋体" w:eastAsia="宋体"/>
                <w:sz w:val="16"/>
              </w:rPr>
              <w:t>3.48分</w:t>
            </w:r>
          </w:p>
        </w:tc>
      </w:tr>
      <w:tr w14:paraId="1449EA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E76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726D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172CE">
            <w:pPr>
              <w:jc w:val="center"/>
            </w:pPr>
            <w:r>
              <w:rPr>
                <w:rFonts w:ascii="宋体" w:hAnsi="宋体" w:eastAsia="宋体"/>
                <w:sz w:val="16"/>
              </w:rPr>
              <w:t>218.74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D87F9">
            <w:pPr>
              <w:jc w:val="center"/>
            </w:pPr>
            <w:r>
              <w:rPr>
                <w:rFonts w:ascii="宋体" w:hAnsi="宋体" w:eastAsia="宋体"/>
                <w:sz w:val="16"/>
              </w:rPr>
              <w:t>218.74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FC973">
            <w:pPr>
              <w:jc w:val="center"/>
            </w:pPr>
            <w:r>
              <w:rPr>
                <w:rFonts w:ascii="宋体" w:hAnsi="宋体" w:eastAsia="宋体"/>
                <w:sz w:val="16"/>
              </w:rPr>
              <w:t>161.72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8E28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E3F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B53FF">
            <w:pPr>
              <w:jc w:val="center"/>
            </w:pPr>
            <w:r>
              <w:rPr>
                <w:rFonts w:ascii="宋体" w:hAnsi="宋体" w:eastAsia="宋体"/>
                <w:sz w:val="16"/>
              </w:rPr>
              <w:t>—</w:t>
            </w:r>
          </w:p>
        </w:tc>
      </w:tr>
      <w:tr w14:paraId="74E82B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0F6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C913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8D0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961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4B2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4A7F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F7D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A5A0F">
            <w:pPr>
              <w:jc w:val="center"/>
            </w:pPr>
            <w:r>
              <w:rPr>
                <w:rFonts w:ascii="宋体" w:hAnsi="宋体" w:eastAsia="宋体"/>
                <w:sz w:val="16"/>
              </w:rPr>
              <w:t>—</w:t>
            </w:r>
          </w:p>
        </w:tc>
      </w:tr>
      <w:tr w14:paraId="0F81E7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1155A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EA9FD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22FE02">
            <w:pPr>
              <w:jc w:val="center"/>
            </w:pPr>
            <w:r>
              <w:rPr>
                <w:rFonts w:ascii="宋体" w:hAnsi="宋体" w:eastAsia="宋体"/>
                <w:sz w:val="16"/>
              </w:rPr>
              <w:t>实际完成情况</w:t>
            </w:r>
          </w:p>
        </w:tc>
      </w:tr>
      <w:tr w14:paraId="0A3C90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A3AA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81F3A0">
            <w:pPr>
              <w:jc w:val="both"/>
            </w:pPr>
            <w:r>
              <w:rPr>
                <w:rFonts w:ascii="宋体" w:hAnsi="宋体" w:eastAsia="宋体"/>
                <w:sz w:val="16"/>
              </w:rPr>
              <w:t xml:space="preserve">项目总投资218.74 </w:t>
            </w:r>
            <w:r>
              <w:rPr>
                <w:rFonts w:ascii="宋体" w:hAnsi="宋体" w:eastAsia="宋体"/>
                <w:sz w:val="16"/>
              </w:rPr>
              <w:br w:type="textWrapping"/>
            </w:r>
            <w:r>
              <w:rPr>
                <w:rFonts w:ascii="宋体" w:hAnsi="宋体" w:eastAsia="宋体"/>
                <w:sz w:val="16"/>
              </w:rPr>
              <w:t>万元，项目完结6个，支付剩余尾款，用于加快推进开发区城东片区配套基础设施建设，提升群众满意度及投资吸引力。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7DC8AE">
            <w:pPr>
              <w:jc w:val="both"/>
            </w:pPr>
            <w:r>
              <w:rPr>
                <w:rFonts w:hint="eastAsia" w:ascii="宋体" w:hAnsi="宋体"/>
                <w:sz w:val="16"/>
                <w:lang w:eastAsia="zh-CN"/>
              </w:rPr>
              <w:t>截至</w:t>
            </w:r>
            <w:r>
              <w:rPr>
                <w:rFonts w:ascii="宋体" w:hAnsi="宋体" w:eastAsia="宋体"/>
                <w:sz w:val="16"/>
              </w:rPr>
              <w:t>2024年12月31日，项目总投资218.74 万元，已执行161.72万元，用于5个项目完结支付尾款，支付城东金融贸易区桥头标识牌项目尾款6.58万元，支付深圳城绿化项目尾款45万元，</w:t>
            </w:r>
            <w:r>
              <w:rPr>
                <w:rFonts w:hint="eastAsia" w:ascii="宋体" w:hAnsi="宋体"/>
                <w:sz w:val="16"/>
                <w:lang w:eastAsia="zh-CN"/>
              </w:rPr>
              <w:t>大亚湾</w:t>
            </w:r>
            <w:r>
              <w:rPr>
                <w:rFonts w:ascii="宋体" w:hAnsi="宋体" w:eastAsia="宋体"/>
                <w:sz w:val="16"/>
              </w:rPr>
              <w:t>以东新区产业规划设计项目尾款45万元，支付信访大厅装修项目尾款8.14万元，公厕项目30万元，支付地埋式垃圾站项目尾款27万元，从而加快推进了开发区城东片区配套基础设施建设，群众满意度达到了100%。</w:t>
            </w:r>
          </w:p>
        </w:tc>
      </w:tr>
      <w:tr w14:paraId="3B9E45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4C4B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E3A7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EF87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AB2E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2BBD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BDEB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41A5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4454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7122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F0BB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53C2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37D7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64799">
            <w:pPr>
              <w:jc w:val="center"/>
            </w:pPr>
            <w:r>
              <w:rPr>
                <w:rFonts w:ascii="宋体" w:hAnsi="宋体" w:eastAsia="宋体"/>
                <w:sz w:val="16"/>
              </w:rPr>
              <w:t>偏差原因分析及改进措施</w:t>
            </w:r>
          </w:p>
        </w:tc>
      </w:tr>
      <w:tr w14:paraId="3046A0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658F5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32F5C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267D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487FC">
            <w:pPr>
              <w:jc w:val="center"/>
            </w:pPr>
            <w:r>
              <w:rPr>
                <w:rFonts w:ascii="宋体" w:hAnsi="宋体" w:eastAsia="宋体"/>
                <w:sz w:val="16"/>
              </w:rPr>
              <w:t>项目完结支付尾款项目数量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92C24">
            <w:pPr>
              <w:jc w:val="center"/>
            </w:pPr>
            <w:r>
              <w:rPr>
                <w:rFonts w:ascii="宋体" w:hAnsi="宋体" w:eastAsia="宋体"/>
                <w:sz w:val="16"/>
              </w:rPr>
              <w:t>&gt;=6个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CC0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B0C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B35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131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AAD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2C98F">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9980A">
            <w:pPr>
              <w:jc w:val="center"/>
            </w:pPr>
            <w:r>
              <w:rPr>
                <w:rFonts w:ascii="宋体" w:hAnsi="宋体" w:eastAsia="宋体"/>
                <w:sz w:val="16"/>
              </w:rPr>
              <w:t>5.84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59FDE">
            <w:pPr>
              <w:jc w:val="center"/>
            </w:pPr>
            <w:r>
              <w:rPr>
                <w:rFonts w:ascii="宋体" w:hAnsi="宋体" w:eastAsia="宋体"/>
                <w:sz w:val="16"/>
              </w:rPr>
              <w:t>项目初期，城东金融贸易区桥头标识牌项目未达到支付进度，项目竣工情况掌握存在偏差，导致预期值设置偏高。改进措施：深入分析，更好地把握和预测项目实时完成进度，避免出现偏差。</w:t>
            </w:r>
          </w:p>
        </w:tc>
      </w:tr>
      <w:tr w14:paraId="110D06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D20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E26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FDDC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085D1">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D8D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533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CE0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6F98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10B7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C81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366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EAA2F">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4543C">
            <w:pPr>
              <w:jc w:val="center"/>
            </w:pPr>
          </w:p>
        </w:tc>
      </w:tr>
      <w:tr w14:paraId="0760A0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276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48F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EA67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4B51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84C83">
            <w:pPr>
              <w:jc w:val="center"/>
            </w:pPr>
            <w:r>
              <w:rPr>
                <w:rFonts w:ascii="宋体" w:hAnsi="宋体" w:eastAsia="宋体"/>
                <w:sz w:val="16"/>
              </w:rPr>
              <w:t>=2024年10月28日前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C7B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9DF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E97C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25A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8D7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D1445">
            <w:pPr>
              <w:jc w:val="center"/>
            </w:pPr>
            <w:r>
              <w:rPr>
                <w:rFonts w:ascii="宋体" w:hAnsi="宋体" w:eastAsia="宋体"/>
                <w:sz w:val="16"/>
              </w:rPr>
              <w:t>=2024年10月27日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CE6F9">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2F22A">
            <w:pPr>
              <w:jc w:val="center"/>
            </w:pPr>
          </w:p>
        </w:tc>
      </w:tr>
      <w:tr w14:paraId="16A8DF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70C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2F60A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DBEBB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4D7EF">
            <w:pPr>
              <w:jc w:val="center"/>
            </w:pPr>
            <w:r>
              <w:rPr>
                <w:rFonts w:ascii="宋体" w:hAnsi="宋体" w:eastAsia="宋体"/>
                <w:sz w:val="16"/>
              </w:rPr>
              <w:t>城东金融贸易区桥头标识牌项目尾款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102B5">
            <w:pPr>
              <w:jc w:val="center"/>
            </w:pPr>
            <w:r>
              <w:rPr>
                <w:rFonts w:ascii="宋体" w:hAnsi="宋体" w:eastAsia="宋体"/>
                <w:sz w:val="16"/>
              </w:rPr>
              <w:t>&lt;=63.6万元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8EDB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736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77BD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602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934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9F127">
            <w:pPr>
              <w:jc w:val="center"/>
            </w:pPr>
            <w:r>
              <w:rPr>
                <w:rFonts w:ascii="宋体" w:hAnsi="宋体" w:eastAsia="宋体"/>
                <w:sz w:val="16"/>
              </w:rPr>
              <w:t>=6.58万元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D24A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EBFBA">
            <w:pPr>
              <w:jc w:val="center"/>
            </w:pPr>
            <w:r>
              <w:rPr>
                <w:rFonts w:ascii="宋体" w:hAnsi="宋体" w:eastAsia="宋体"/>
                <w:sz w:val="16"/>
              </w:rPr>
              <w:t>项目初期，城东金融贸易区桥头标识牌项目工程进度未达到付款标准，导致预期值设置偏高。改进措施：深入分析，更好地把握和预测项目执行进度，避免出现偏差。</w:t>
            </w:r>
          </w:p>
        </w:tc>
      </w:tr>
      <w:tr w14:paraId="71C23B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D24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526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D51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56907">
            <w:pPr>
              <w:jc w:val="center"/>
            </w:pPr>
            <w:r>
              <w:rPr>
                <w:rFonts w:ascii="宋体" w:hAnsi="宋体" w:eastAsia="宋体"/>
                <w:sz w:val="16"/>
              </w:rPr>
              <w:t>深圳城绿化项目尾款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2A19A">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8BCA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A2A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9023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B9E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C2E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50C65">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3D9D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DFAB3">
            <w:pPr>
              <w:jc w:val="center"/>
            </w:pPr>
          </w:p>
        </w:tc>
      </w:tr>
      <w:tr w14:paraId="0B4C07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6AD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664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A4F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E6391">
            <w:pPr>
              <w:jc w:val="center"/>
            </w:pPr>
            <w:r>
              <w:rPr>
                <w:rFonts w:hint="eastAsia" w:ascii="宋体" w:hAnsi="宋体"/>
                <w:sz w:val="16"/>
                <w:lang w:eastAsia="zh-CN"/>
              </w:rPr>
              <w:t>大亚湾</w:t>
            </w:r>
            <w:r>
              <w:rPr>
                <w:rFonts w:ascii="宋体" w:hAnsi="宋体" w:eastAsia="宋体"/>
                <w:sz w:val="16"/>
              </w:rPr>
              <w:t>以东新区产业规划设计项目尾款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601B3">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9503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56D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A028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F74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20B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7A81C">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6AD8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7A669">
            <w:pPr>
              <w:jc w:val="center"/>
            </w:pPr>
          </w:p>
        </w:tc>
      </w:tr>
      <w:tr w14:paraId="49F532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7EC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6DF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A76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1DAD6">
            <w:pPr>
              <w:jc w:val="center"/>
            </w:pPr>
            <w:r>
              <w:rPr>
                <w:rFonts w:ascii="宋体" w:hAnsi="宋体" w:eastAsia="宋体"/>
                <w:sz w:val="16"/>
              </w:rPr>
              <w:t>信访大厅装修项目尾款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A3537">
            <w:pPr>
              <w:jc w:val="center"/>
            </w:pPr>
            <w:r>
              <w:rPr>
                <w:rFonts w:ascii="宋体" w:hAnsi="宋体" w:eastAsia="宋体"/>
                <w:sz w:val="16"/>
              </w:rPr>
              <w:t>&lt;=8.14万元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3399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60C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19F6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978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2AE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5F275">
            <w:pPr>
              <w:jc w:val="center"/>
            </w:pPr>
            <w:r>
              <w:rPr>
                <w:rFonts w:ascii="宋体" w:hAnsi="宋体" w:eastAsia="宋体"/>
                <w:sz w:val="16"/>
              </w:rPr>
              <w:t>=8.14万元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7DE8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4999C">
            <w:pPr>
              <w:jc w:val="center"/>
            </w:pPr>
          </w:p>
        </w:tc>
      </w:tr>
      <w:tr w14:paraId="1D7D47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48F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58E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AE9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7E9BD">
            <w:pPr>
              <w:jc w:val="center"/>
            </w:pPr>
            <w:r>
              <w:rPr>
                <w:rFonts w:ascii="宋体" w:hAnsi="宋体" w:eastAsia="宋体"/>
                <w:sz w:val="16"/>
              </w:rPr>
              <w:t>公厕项目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A4BB4">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1879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B5F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DC0F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805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03C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13B4E">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37E4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637BE">
            <w:pPr>
              <w:jc w:val="center"/>
            </w:pPr>
          </w:p>
        </w:tc>
      </w:tr>
      <w:tr w14:paraId="795428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E1C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E22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B67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8C181">
            <w:pPr>
              <w:jc w:val="center"/>
            </w:pPr>
            <w:r>
              <w:rPr>
                <w:rFonts w:ascii="宋体" w:hAnsi="宋体" w:eastAsia="宋体"/>
                <w:sz w:val="16"/>
              </w:rPr>
              <w:t>地埋式垃圾站项目尾款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2BAFB">
            <w:pPr>
              <w:jc w:val="center"/>
            </w:pPr>
            <w:r>
              <w:rPr>
                <w:rFonts w:ascii="宋体" w:hAnsi="宋体" w:eastAsia="宋体"/>
                <w:sz w:val="16"/>
              </w:rPr>
              <w:t>&lt;=27万元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DC08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3D6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2428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0A0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96F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C05D9">
            <w:pPr>
              <w:jc w:val="center"/>
            </w:pPr>
            <w:r>
              <w:rPr>
                <w:rFonts w:ascii="宋体" w:hAnsi="宋体" w:eastAsia="宋体"/>
                <w:sz w:val="16"/>
              </w:rPr>
              <w: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1556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B1FD8">
            <w:pPr>
              <w:jc w:val="center"/>
            </w:pPr>
          </w:p>
        </w:tc>
      </w:tr>
      <w:tr w14:paraId="07BA0B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EBA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4003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98F8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0F342">
            <w:pPr>
              <w:jc w:val="center"/>
            </w:pPr>
            <w:r>
              <w:rPr>
                <w:rFonts w:ascii="宋体" w:hAnsi="宋体" w:eastAsia="宋体"/>
                <w:sz w:val="16"/>
              </w:rPr>
              <w:t>加快推进开发区城东片区配套基础设施建设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3ECE9">
            <w:pPr>
              <w:jc w:val="center"/>
            </w:pPr>
            <w:r>
              <w:rPr>
                <w:rFonts w:ascii="宋体" w:hAnsi="宋体" w:eastAsia="宋体"/>
                <w:sz w:val="16"/>
              </w:rPr>
              <w:t>加快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128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775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58BD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2A6A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277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1F9F3">
            <w:pPr>
              <w:jc w:val="center"/>
            </w:pPr>
            <w:r>
              <w:rPr>
                <w:rFonts w:ascii="宋体" w:hAnsi="宋体" w:eastAsia="宋体"/>
                <w:sz w:val="16"/>
              </w:rPr>
              <w:t>加快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662E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D180D">
            <w:pPr>
              <w:jc w:val="center"/>
            </w:pPr>
          </w:p>
        </w:tc>
      </w:tr>
      <w:tr w14:paraId="4FCC33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B7D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2C7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817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5B7A7">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52A8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77B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763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E10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85AD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1FD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45C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7AC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68B53">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7A7DCA8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18629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E5FC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3FCA4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2E2AD">
            <w:pPr>
              <w:jc w:val="center"/>
            </w:pPr>
            <w:r>
              <w:rPr>
                <w:rFonts w:ascii="宋体" w:hAnsi="宋体" w:eastAsia="宋体"/>
                <w:sz w:val="16"/>
              </w:rPr>
              <w:t>85.32分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723DE17"/>
        </w:tc>
      </w:tr>
    </w:tbl>
    <w:p w14:paraId="394D7DAD">
      <w:r>
        <w:br w:type="page"/>
      </w:r>
    </w:p>
    <w:p w14:paraId="4DEB1F91">
      <w:pPr>
        <w:spacing w:line="640" w:lineRule="exact"/>
        <w:ind w:firstLine="640"/>
        <w:jc w:val="both"/>
        <w:outlineLvl w:val="2"/>
      </w:pPr>
      <w:r>
        <w:rPr>
          <w:rFonts w:ascii="黑体" w:hAnsi="黑体" w:eastAsia="黑体"/>
          <w:sz w:val="32"/>
        </w:rPr>
        <w:t>十二、其他需说明的事项</w:t>
      </w:r>
    </w:p>
    <w:p w14:paraId="79BC4F10">
      <w:pPr>
        <w:spacing w:line="580" w:lineRule="exact"/>
        <w:ind w:firstLine="640"/>
        <w:jc w:val="both"/>
      </w:pPr>
      <w:r>
        <w:rPr>
          <w:rFonts w:ascii="仿宋_GB2312" w:hAnsi="仿宋_GB2312" w:eastAsia="仿宋_GB2312"/>
          <w:b w:val="0"/>
          <w:sz w:val="32"/>
        </w:rPr>
        <w:t>本单位无其他需说明的事项。</w:t>
      </w:r>
    </w:p>
    <w:p w14:paraId="7C75CA71">
      <w:r>
        <w:br w:type="page"/>
      </w:r>
    </w:p>
    <w:p w14:paraId="51C7D7E7">
      <w:pPr>
        <w:spacing w:line="240" w:lineRule="auto"/>
        <w:jc w:val="center"/>
        <w:outlineLvl w:val="1"/>
      </w:pPr>
      <w:r>
        <w:rPr>
          <w:rFonts w:ascii="黑体" w:hAnsi="黑体" w:eastAsia="黑体"/>
          <w:sz w:val="32"/>
        </w:rPr>
        <w:t>第三部分 专业名词解释</w:t>
      </w:r>
    </w:p>
    <w:p w14:paraId="4C405A9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E1C1B7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9558AC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13F673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C091F3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BE9AB0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3CA495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484460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647AD0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BC74B2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A38BCC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1DCAD9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58DBF8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D9D234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16FA91A">
      <w:r>
        <w:br w:type="page"/>
      </w:r>
    </w:p>
    <w:p w14:paraId="6CB253D3">
      <w:pPr>
        <w:spacing w:line="240" w:lineRule="auto"/>
        <w:jc w:val="center"/>
        <w:outlineLvl w:val="1"/>
      </w:pPr>
      <w:r>
        <w:rPr>
          <w:rFonts w:ascii="黑体" w:hAnsi="黑体" w:eastAsia="黑体"/>
          <w:sz w:val="32"/>
        </w:rPr>
        <w:t>第四部分 部门决算报表（见附表）</w:t>
      </w:r>
    </w:p>
    <w:p w14:paraId="76129E02">
      <w:pPr>
        <w:spacing w:line="240" w:lineRule="auto"/>
        <w:ind w:firstLine="640"/>
        <w:jc w:val="both"/>
      </w:pPr>
      <w:r>
        <w:rPr>
          <w:rFonts w:ascii="仿宋_GB2312" w:hAnsi="仿宋_GB2312" w:eastAsia="仿宋_GB2312"/>
          <w:b w:val="0"/>
          <w:sz w:val="32"/>
        </w:rPr>
        <w:t>一、《收入支出决算总表》</w:t>
      </w:r>
    </w:p>
    <w:p w14:paraId="733C91F8">
      <w:pPr>
        <w:spacing w:line="240" w:lineRule="auto"/>
        <w:ind w:firstLine="640"/>
        <w:jc w:val="both"/>
      </w:pPr>
      <w:r>
        <w:rPr>
          <w:rFonts w:ascii="仿宋_GB2312" w:hAnsi="仿宋_GB2312" w:eastAsia="仿宋_GB2312"/>
          <w:b w:val="0"/>
          <w:sz w:val="32"/>
        </w:rPr>
        <w:t>二、《收入决算表》</w:t>
      </w:r>
    </w:p>
    <w:p w14:paraId="774B16E8">
      <w:pPr>
        <w:spacing w:line="240" w:lineRule="auto"/>
        <w:ind w:firstLine="640"/>
        <w:jc w:val="both"/>
      </w:pPr>
      <w:r>
        <w:rPr>
          <w:rFonts w:ascii="仿宋_GB2312" w:hAnsi="仿宋_GB2312" w:eastAsia="仿宋_GB2312"/>
          <w:b w:val="0"/>
          <w:sz w:val="32"/>
        </w:rPr>
        <w:t>三、《支出决算表》</w:t>
      </w:r>
    </w:p>
    <w:p w14:paraId="6E161C2B">
      <w:pPr>
        <w:spacing w:line="240" w:lineRule="auto"/>
        <w:ind w:firstLine="640"/>
        <w:jc w:val="both"/>
      </w:pPr>
      <w:r>
        <w:rPr>
          <w:rFonts w:ascii="仿宋_GB2312" w:hAnsi="仿宋_GB2312" w:eastAsia="仿宋_GB2312"/>
          <w:b w:val="0"/>
          <w:sz w:val="32"/>
        </w:rPr>
        <w:t>四、《财政拨款收入支出决算总表》</w:t>
      </w:r>
    </w:p>
    <w:p w14:paraId="1C05AEF8">
      <w:pPr>
        <w:spacing w:line="240" w:lineRule="auto"/>
        <w:ind w:firstLine="640"/>
        <w:jc w:val="both"/>
      </w:pPr>
      <w:r>
        <w:rPr>
          <w:rFonts w:ascii="仿宋_GB2312" w:hAnsi="仿宋_GB2312" w:eastAsia="仿宋_GB2312"/>
          <w:b w:val="0"/>
          <w:sz w:val="32"/>
        </w:rPr>
        <w:t>五、《一般公共预算财政拨款支出决算表》</w:t>
      </w:r>
    </w:p>
    <w:p w14:paraId="6EDD8A0F">
      <w:pPr>
        <w:spacing w:line="240" w:lineRule="auto"/>
        <w:ind w:firstLine="640"/>
        <w:jc w:val="both"/>
      </w:pPr>
      <w:r>
        <w:rPr>
          <w:rFonts w:ascii="仿宋_GB2312" w:hAnsi="仿宋_GB2312" w:eastAsia="仿宋_GB2312"/>
          <w:b w:val="0"/>
          <w:sz w:val="32"/>
        </w:rPr>
        <w:t>六、《一般公共预算财政拨款基本支出决算表》</w:t>
      </w:r>
    </w:p>
    <w:p w14:paraId="686BFE8A">
      <w:pPr>
        <w:spacing w:line="240" w:lineRule="auto"/>
        <w:ind w:firstLine="640"/>
        <w:jc w:val="both"/>
      </w:pPr>
      <w:r>
        <w:rPr>
          <w:rFonts w:ascii="仿宋_GB2312" w:hAnsi="仿宋_GB2312" w:eastAsia="仿宋_GB2312"/>
          <w:b w:val="0"/>
          <w:sz w:val="32"/>
        </w:rPr>
        <w:t>七、《政府性基金预算财政拨款收入支出决算表》</w:t>
      </w:r>
    </w:p>
    <w:p w14:paraId="7D0E10ED">
      <w:pPr>
        <w:spacing w:line="240" w:lineRule="auto"/>
        <w:ind w:firstLine="640"/>
        <w:jc w:val="both"/>
      </w:pPr>
      <w:r>
        <w:rPr>
          <w:rFonts w:ascii="仿宋_GB2312" w:hAnsi="仿宋_GB2312" w:eastAsia="仿宋_GB2312"/>
          <w:b w:val="0"/>
          <w:sz w:val="32"/>
        </w:rPr>
        <w:t>八、《国有资本经营预算财政拨款收入支出决算表》</w:t>
      </w:r>
    </w:p>
    <w:p w14:paraId="483A07C9">
      <w:pPr>
        <w:spacing w:line="240" w:lineRule="auto"/>
        <w:ind w:firstLine="640"/>
        <w:jc w:val="both"/>
      </w:pPr>
      <w:r>
        <w:rPr>
          <w:rFonts w:ascii="仿宋_GB2312" w:hAnsi="仿宋_GB2312" w:eastAsia="仿宋_GB2312"/>
          <w:b w:val="0"/>
          <w:sz w:val="32"/>
        </w:rPr>
        <w:t>九、《财政拨款“三公”经费支出决算表》</w:t>
      </w:r>
    </w:p>
    <w:p w14:paraId="07EF9787">
      <w:pPr>
        <w:spacing w:line="240" w:lineRule="auto"/>
        <w:ind w:firstLine="640"/>
        <w:jc w:val="both"/>
      </w:pPr>
    </w:p>
    <w:p w14:paraId="75CBF94A">
      <w:pPr>
        <w:spacing w:line="240" w:lineRule="auto"/>
        <w:ind w:firstLine="640"/>
        <w:jc w:val="both"/>
      </w:pPr>
    </w:p>
    <w:p w14:paraId="67468509">
      <w:pPr>
        <w:spacing w:line="240" w:lineRule="auto"/>
        <w:ind w:firstLine="640"/>
        <w:jc w:val="both"/>
      </w:pPr>
    </w:p>
    <w:p w14:paraId="6A85BA7E">
      <w:pPr>
        <w:spacing w:line="240" w:lineRule="auto"/>
        <w:ind w:firstLine="640"/>
        <w:jc w:val="both"/>
      </w:pPr>
    </w:p>
    <w:p w14:paraId="5A9CA56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C4191BD-304F-4B70-A925-640D36EED48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B6745472-F11E-4DD8-B615-B828EAB80B07}"/>
  </w:font>
  <w:font w:name="仿宋_GB2312">
    <w:panose1 w:val="02010609030101010101"/>
    <w:charset w:val="86"/>
    <w:family w:val="modern"/>
    <w:pitch w:val="default"/>
    <w:sig w:usb0="00000001" w:usb1="080E0000" w:usb2="00000000" w:usb3="00000000" w:csb0="00040000" w:csb1="00000000"/>
    <w:embedRegular r:id="rId3" w:fontKey="{57BCB8ED-0498-4CA1-878F-E6A916EA172A}"/>
  </w:font>
  <w:font w:name="楷体_GB2312">
    <w:panose1 w:val="02010609030101010101"/>
    <w:charset w:val="86"/>
    <w:family w:val="auto"/>
    <w:pitch w:val="default"/>
    <w:sig w:usb0="00000001" w:usb1="080E0000" w:usb2="00000000" w:usb3="00000000" w:csb0="00040000" w:csb1="00000000"/>
    <w:embedRegular r:id="rId4" w:fontKey="{C972B4DA-B3ED-4045-864C-A33DA53A376E}"/>
  </w:font>
  <w:font w:name="WPSEMBED1">
    <w:panose1 w:val="02010609030101010101"/>
    <w:charset w:val="86"/>
    <w:family w:val="auto"/>
    <w:pitch w:val="default"/>
    <w:sig w:usb0="00000001" w:usb1="080E0000" w:usb2="00000000" w:usb3="00000000" w:csb0="00040000" w:csb1="00000000"/>
  </w:font>
  <w:font w:name="WPSEMBED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AF93D1B"/>
    <w:rsid w:val="2C1965E9"/>
    <w:rsid w:val="2D1136DF"/>
    <w:rsid w:val="2DAE0E44"/>
    <w:rsid w:val="2FD27414"/>
    <w:rsid w:val="313F1D52"/>
    <w:rsid w:val="318029AB"/>
    <w:rsid w:val="31C63837"/>
    <w:rsid w:val="326F0A17"/>
    <w:rsid w:val="3277581B"/>
    <w:rsid w:val="34CA7926"/>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BE01E83"/>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B3D22E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45</Pages>
  <Words>6098</Words>
  <Characters>7027</Characters>
  <Lines>0</Lines>
  <Paragraphs>0</Paragraphs>
  <TotalTime>8</TotalTime>
  <ScaleCrop>false</ScaleCrop>
  <LinksUpToDate>false</LinksUpToDate>
  <CharactersWithSpaces>7036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2025-11-05T02:39:45Z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eyJoZGlkIjoiMjEwMjVmNmU3OTQwZDBjNjI0ZTM3MTBmNDI0OGIzYzIiLCJ1c2VySWQiOiIyMDM3MTI1NTkifQ==</vt:lpwstr>
  </property>
</Properties>
</file>