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喀什经济开发区城北加工产业发展服务中心2024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0CE00C5">
      <w:r>
        <w:br w:type="page"/>
      </w:r>
    </w:p>
    <w:p w14:paraId="1AFB0113">
      <w:pPr>
        <w:spacing w:line="640" w:lineRule="exact"/>
        <w:jc w:val="center"/>
        <w:outlineLvl w:val="1"/>
      </w:pPr>
      <w:r>
        <w:rPr>
          <w:rFonts w:ascii="黑体" w:hAnsi="黑体" w:eastAsia="黑体"/>
          <w:sz w:val="32"/>
        </w:rPr>
        <w:t>第一部分 单位概况</w:t>
      </w:r>
    </w:p>
    <w:p w14:paraId="7775D28F">
      <w:pPr>
        <w:spacing w:line="640" w:lineRule="exact"/>
        <w:ind w:firstLine="640"/>
        <w:jc w:val="both"/>
        <w:outlineLvl w:val="2"/>
      </w:pPr>
      <w:r>
        <w:rPr>
          <w:rFonts w:ascii="黑体" w:hAnsi="黑体" w:eastAsia="黑体"/>
          <w:sz w:val="32"/>
        </w:rPr>
        <w:t>一、主要职能</w:t>
      </w:r>
    </w:p>
    <w:p w14:paraId="49890E4C">
      <w:pPr>
        <w:spacing w:line="580" w:lineRule="exact"/>
        <w:ind w:firstLine="640"/>
        <w:jc w:val="both"/>
      </w:pPr>
      <w:r>
        <w:rPr>
          <w:rFonts w:ascii="仿宋_GB2312" w:hAnsi="仿宋_GB2312" w:eastAsia="仿宋_GB2312"/>
          <w:sz w:val="32"/>
        </w:rPr>
        <w:t>贯彻国家、自治区、地区、开发区产业发展规划及各项方针政策，制定年度工作计划并组织实施;会同相关部门组织协调、指导辖区产业规划、产业培育;承担经济管理，改善营商环境、促进经济发展;负责统筹城北加工转化区规划建设，推进基础工程和项目建设，协调相关产业发展要素，向装备产业园、11县产业园等平台提供必要市政服务;推进产城</w:t>
      </w:r>
      <w:r>
        <w:rPr>
          <w:rFonts w:hint="eastAsia" w:ascii="仿宋_GB2312" w:hAnsi="仿宋_GB2312" w:eastAsia="仿宋_GB2312"/>
          <w:sz w:val="32"/>
          <w:lang w:val="en-US" w:eastAsia="zh-CN"/>
        </w:rPr>
        <w:t>YTH</w:t>
      </w:r>
      <w:r>
        <w:rPr>
          <w:rFonts w:ascii="仿宋_GB2312" w:hAnsi="仿宋_GB2312" w:eastAsia="仿宋_GB2312"/>
          <w:sz w:val="32"/>
        </w:rPr>
        <w:t>发展;负责推进高新技术、机械制造、现代物流等产业在城北加工转化区科学布局、聚集发展，着力建设高质量就业示范区;负责中心党组织建设和辖区“两新”组织建设等工作，协调社区和警务站等工作;承办喀什经济开发区党工委、管委会交办的其他事项。</w:t>
      </w:r>
    </w:p>
    <w:p w14:paraId="621F8A58">
      <w:pPr>
        <w:spacing w:line="640" w:lineRule="exact"/>
        <w:ind w:firstLine="640"/>
        <w:jc w:val="both"/>
        <w:outlineLvl w:val="2"/>
      </w:pPr>
      <w:r>
        <w:rPr>
          <w:rFonts w:ascii="黑体" w:hAnsi="黑体" w:eastAsia="黑体"/>
          <w:sz w:val="32"/>
        </w:rPr>
        <w:t>二、机构设置及人员情况</w:t>
      </w:r>
    </w:p>
    <w:p w14:paraId="54814D6E">
      <w:pPr>
        <w:spacing w:line="580" w:lineRule="exact"/>
        <w:ind w:firstLine="640"/>
        <w:jc w:val="both"/>
      </w:pPr>
      <w:r>
        <w:rPr>
          <w:rFonts w:ascii="仿宋_GB2312" w:hAnsi="仿宋_GB2312" w:eastAsia="仿宋_GB2312"/>
          <w:sz w:val="32"/>
        </w:rPr>
        <w:t>喀什经济开发区城北加工产业发展服务中心2024年度，实有人数10人，其中：在职人员10人，增加2人；离休人员0人，增加0人；退休人员0人,增加0人。</w:t>
      </w:r>
    </w:p>
    <w:p w14:paraId="53BAD4F8">
      <w:pPr>
        <w:spacing w:line="580" w:lineRule="exact"/>
        <w:ind w:firstLine="640"/>
        <w:jc w:val="both"/>
      </w:pPr>
      <w:r>
        <w:rPr>
          <w:rFonts w:ascii="仿宋_GB2312" w:hAnsi="仿宋_GB2312" w:eastAsia="仿宋_GB2312"/>
          <w:sz w:val="32"/>
        </w:rPr>
        <w:t>喀什经济开发区城北加工产业发展服务中心无下属预算单位，下设3个科室，分别是：经济服务部、综合服务部、项目服务部。</w:t>
      </w:r>
    </w:p>
    <w:p w14:paraId="230647C6">
      <w:r>
        <w:br w:type="page"/>
      </w:r>
    </w:p>
    <w:p w14:paraId="467657BA">
      <w:pPr>
        <w:spacing w:line="240" w:lineRule="auto"/>
        <w:jc w:val="center"/>
        <w:outlineLvl w:val="1"/>
      </w:pPr>
      <w:r>
        <w:rPr>
          <w:rFonts w:ascii="黑体" w:hAnsi="黑体" w:eastAsia="黑体"/>
          <w:sz w:val="32"/>
        </w:rPr>
        <w:t>第二部分 部门决算情况说明</w:t>
      </w:r>
    </w:p>
    <w:p w14:paraId="329C1DD6">
      <w:pPr>
        <w:spacing w:line="640" w:lineRule="exact"/>
        <w:ind w:firstLine="640"/>
        <w:jc w:val="both"/>
        <w:outlineLvl w:val="2"/>
      </w:pPr>
      <w:r>
        <w:rPr>
          <w:rFonts w:ascii="黑体" w:hAnsi="黑体" w:eastAsia="黑体"/>
          <w:sz w:val="32"/>
        </w:rPr>
        <w:t>一、收入支出决算总体情况说明</w:t>
      </w:r>
    </w:p>
    <w:p w14:paraId="6A27DCD6">
      <w:pPr>
        <w:spacing w:line="580" w:lineRule="exact"/>
        <w:ind w:firstLine="640"/>
        <w:jc w:val="both"/>
      </w:pPr>
      <w:r>
        <w:rPr>
          <w:rFonts w:ascii="仿宋_GB2312" w:hAnsi="仿宋_GB2312" w:eastAsia="仿宋_GB2312"/>
          <w:b/>
          <w:sz w:val="32"/>
        </w:rPr>
        <w:t>2024年度收入总计642.06万元，</w:t>
      </w:r>
      <w:r>
        <w:rPr>
          <w:rFonts w:ascii="仿宋_GB2312" w:hAnsi="仿宋_GB2312" w:eastAsia="仿宋_GB2312"/>
          <w:b w:val="0"/>
          <w:sz w:val="32"/>
        </w:rPr>
        <w:t>其中：本年收入合计642.06万元，使用非财政拨款结余（含专用结余）0.00万元，年初结转和结余0.00万元。</w:t>
      </w:r>
    </w:p>
    <w:p w14:paraId="6D55A208">
      <w:pPr>
        <w:spacing w:line="580" w:lineRule="exact"/>
        <w:ind w:firstLine="640"/>
        <w:jc w:val="both"/>
      </w:pPr>
      <w:r>
        <w:rPr>
          <w:rFonts w:ascii="仿宋_GB2312" w:hAnsi="仿宋_GB2312" w:eastAsia="仿宋_GB2312"/>
          <w:b/>
          <w:sz w:val="32"/>
        </w:rPr>
        <w:t>2024年度支出总计642.06万元，</w:t>
      </w:r>
      <w:r>
        <w:rPr>
          <w:rFonts w:ascii="仿宋_GB2312" w:hAnsi="仿宋_GB2312" w:eastAsia="仿宋_GB2312"/>
          <w:b w:val="0"/>
          <w:sz w:val="32"/>
        </w:rPr>
        <w:t>其中：本年支出合计642.06万元，结余分配0.00万元，年末结转和结余0.00万元。</w:t>
      </w:r>
    </w:p>
    <w:p w14:paraId="363FF86F">
      <w:pPr>
        <w:spacing w:line="580" w:lineRule="exact"/>
        <w:ind w:firstLine="640"/>
        <w:jc w:val="both"/>
      </w:pPr>
      <w:r>
        <w:rPr>
          <w:rFonts w:ascii="仿宋_GB2312" w:hAnsi="仿宋_GB2312" w:eastAsia="仿宋_GB2312"/>
          <w:b w:val="0"/>
          <w:sz w:val="32"/>
        </w:rPr>
        <w:t>收入支出总体与上年相比，减少2,983.47万元，下降82.29%，主要原因是：本年减少喀什经济开发区城北转化加工区十一县基础设施建设、喀什经济开发区城北转化加工区公租房及配套设施等建设、城北转化加工区宣传门头建设、城北加工区高炮及宣传牌设置工程项目审计费等项目经费，导致相关经费减少。</w:t>
      </w:r>
    </w:p>
    <w:p w14:paraId="6E1BEE9B">
      <w:pPr>
        <w:spacing w:line="640" w:lineRule="exact"/>
        <w:ind w:firstLine="640"/>
        <w:jc w:val="both"/>
        <w:outlineLvl w:val="2"/>
      </w:pPr>
      <w:r>
        <w:rPr>
          <w:rFonts w:ascii="黑体" w:hAnsi="黑体" w:eastAsia="黑体"/>
          <w:sz w:val="32"/>
        </w:rPr>
        <w:t>二、收入决算情况说明</w:t>
      </w:r>
    </w:p>
    <w:p w14:paraId="4D7DA2E4">
      <w:pPr>
        <w:spacing w:line="580" w:lineRule="exact"/>
        <w:ind w:firstLine="640"/>
        <w:jc w:val="both"/>
      </w:pPr>
      <w:r>
        <w:rPr>
          <w:rFonts w:ascii="仿宋_GB2312" w:hAnsi="仿宋_GB2312" w:eastAsia="仿宋_GB2312"/>
          <w:b/>
          <w:sz w:val="32"/>
        </w:rPr>
        <w:t>本年收入642.06万元，</w:t>
      </w:r>
      <w:r>
        <w:rPr>
          <w:rFonts w:ascii="仿宋_GB2312" w:hAnsi="仿宋_GB2312" w:eastAsia="仿宋_GB2312"/>
          <w:b w:val="0"/>
          <w:sz w:val="32"/>
        </w:rPr>
        <w:t>其中：财政拨款收入642.06万元，占100.00%；上级补助收入0.00万元，占0.00%；事业收入0.00万元，占0.00%；经营收入0.00万元，占0.00%；附属单位上缴收入0.00万元，占0.00%；其他收入0.00万元，占0.00%。</w:t>
      </w:r>
    </w:p>
    <w:p w14:paraId="69B5AF22">
      <w:pPr>
        <w:spacing w:line="640" w:lineRule="exact"/>
        <w:ind w:firstLine="640"/>
        <w:jc w:val="both"/>
        <w:outlineLvl w:val="2"/>
      </w:pPr>
      <w:r>
        <w:rPr>
          <w:rFonts w:ascii="黑体" w:hAnsi="黑体" w:eastAsia="黑体"/>
          <w:sz w:val="32"/>
        </w:rPr>
        <w:t>三、支出决算情况说明</w:t>
      </w:r>
    </w:p>
    <w:p w14:paraId="4049DD8C">
      <w:pPr>
        <w:spacing w:line="580" w:lineRule="exact"/>
        <w:ind w:firstLine="640"/>
        <w:jc w:val="both"/>
      </w:pPr>
      <w:r>
        <w:rPr>
          <w:rFonts w:ascii="仿宋_GB2312" w:hAnsi="仿宋_GB2312" w:eastAsia="仿宋_GB2312"/>
          <w:b/>
          <w:sz w:val="32"/>
        </w:rPr>
        <w:t>本年支出642.06万元，</w:t>
      </w:r>
      <w:r>
        <w:rPr>
          <w:rFonts w:ascii="仿宋_GB2312" w:hAnsi="仿宋_GB2312" w:eastAsia="仿宋_GB2312"/>
          <w:b w:val="0"/>
          <w:sz w:val="32"/>
        </w:rPr>
        <w:t>其中：基本支出310.08万元，占48.29%；项目支出331.99万元，占51.71%；上缴上级支出0.00万元，占0.00%；经营支出0.00万元，占0.00%；对附属单位补助支出0.00万元，占0.00%。</w:t>
      </w:r>
    </w:p>
    <w:p w14:paraId="4F8FFE38">
      <w:pPr>
        <w:spacing w:line="640" w:lineRule="exact"/>
        <w:ind w:firstLine="640"/>
        <w:jc w:val="both"/>
        <w:outlineLvl w:val="2"/>
      </w:pPr>
      <w:r>
        <w:rPr>
          <w:rFonts w:ascii="黑体" w:hAnsi="黑体" w:eastAsia="黑体"/>
          <w:sz w:val="32"/>
        </w:rPr>
        <w:t>四、财政拨款收入支出决算总体情况说明</w:t>
      </w:r>
    </w:p>
    <w:p w14:paraId="1D938E4C">
      <w:pPr>
        <w:spacing w:line="580" w:lineRule="exact"/>
        <w:ind w:firstLine="640"/>
        <w:jc w:val="both"/>
      </w:pPr>
      <w:r>
        <w:rPr>
          <w:rFonts w:ascii="仿宋_GB2312" w:hAnsi="仿宋_GB2312" w:eastAsia="仿宋_GB2312"/>
          <w:b/>
          <w:sz w:val="32"/>
        </w:rPr>
        <w:t>2024年度财政拨款收入总计642.06万元，</w:t>
      </w:r>
      <w:r>
        <w:rPr>
          <w:rFonts w:ascii="仿宋_GB2312" w:hAnsi="仿宋_GB2312" w:eastAsia="仿宋_GB2312"/>
          <w:b w:val="0"/>
          <w:sz w:val="32"/>
        </w:rPr>
        <w:t>其中：年初财政拨款结转和结余0.00万元，本年财政拨款收入642.06万元。</w:t>
      </w:r>
      <w:r>
        <w:rPr>
          <w:rFonts w:ascii="仿宋_GB2312" w:hAnsi="仿宋_GB2312" w:eastAsia="仿宋_GB2312"/>
          <w:b/>
          <w:sz w:val="32"/>
        </w:rPr>
        <w:t>财政拨款支出总计642.06万元，</w:t>
      </w:r>
      <w:r>
        <w:rPr>
          <w:rFonts w:ascii="仿宋_GB2312" w:hAnsi="仿宋_GB2312" w:eastAsia="仿宋_GB2312"/>
          <w:b w:val="0"/>
          <w:sz w:val="32"/>
        </w:rPr>
        <w:t>其中：年末财政拨款结转和结余0.00万元，本年财政拨款支出642.06万元。</w:t>
      </w:r>
    </w:p>
    <w:p w14:paraId="629846B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2,983.47万元，下降82.29%，主要原因是：本年减少喀什经济开发区城北转化加工区十一县基础设施建设、喀什经济开发区城北转化加工区公租房及配套设施等建设、城北转化加工区宣传门头建设、城北加工区高炮及宣传牌设置工程项目审计费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年初预算数2,602.61万元，决算数642.06万元，预决算差异率-75.33%，主要原因是：年中调减城北转化加工区基础设施建设辅助项目资金，城北运营保障项目资金支出，导致预决算差异。</w:t>
      </w:r>
    </w:p>
    <w:p w14:paraId="674804E9">
      <w:pPr>
        <w:spacing w:line="640" w:lineRule="exact"/>
        <w:ind w:firstLine="640"/>
        <w:jc w:val="both"/>
        <w:outlineLvl w:val="2"/>
      </w:pPr>
      <w:r>
        <w:rPr>
          <w:rFonts w:ascii="黑体" w:hAnsi="黑体" w:eastAsia="黑体"/>
          <w:sz w:val="32"/>
        </w:rPr>
        <w:t>五、一般公共预算财政拨款支出决算情况说明</w:t>
      </w:r>
    </w:p>
    <w:p w14:paraId="361AB01D">
      <w:pPr>
        <w:spacing w:line="640" w:lineRule="exact"/>
        <w:ind w:firstLine="640"/>
        <w:jc w:val="both"/>
        <w:outlineLvl w:val="3"/>
      </w:pPr>
      <w:r>
        <w:rPr>
          <w:rFonts w:ascii="楷体_GB2312" w:hAnsi="楷体_GB2312" w:eastAsia="楷体_GB2312"/>
          <w:b/>
          <w:sz w:val="32"/>
        </w:rPr>
        <w:t>（一）一般公共预算财政拨款支出决算总体情况</w:t>
      </w:r>
    </w:p>
    <w:p w14:paraId="2C462A5E">
      <w:pPr>
        <w:spacing w:line="580" w:lineRule="exact"/>
        <w:ind w:firstLine="640"/>
        <w:jc w:val="both"/>
      </w:pPr>
      <w:r>
        <w:rPr>
          <w:rFonts w:ascii="仿宋_GB2312" w:hAnsi="仿宋_GB2312" w:eastAsia="仿宋_GB2312"/>
          <w:b/>
          <w:sz w:val="32"/>
        </w:rPr>
        <w:t>2024年度一般公共预算财政拨款支出642.06万元，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2,983.47万元，下降82.29%，主要原因是：本年减少喀什经济开发区城北转化加工区十一县基础设施建设、喀什经济开发区城北转化加工区公租房及配套设施等建设、城北转化加工区宣传门头建设、城北加工区高炮及宣传牌设置工程项目审计费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年初预算数2,602.61万元，决算数642.06万元，预决算差异率-75.33%，主要原因是：年中调减城北转化加工区基础设施建设辅助项目资金，城北运营保障项目资金支出，导致预决算差异。</w:t>
      </w:r>
    </w:p>
    <w:p w14:paraId="2BB485F9">
      <w:pPr>
        <w:spacing w:line="640" w:lineRule="exact"/>
        <w:ind w:firstLine="640"/>
        <w:jc w:val="both"/>
        <w:outlineLvl w:val="3"/>
      </w:pPr>
      <w:r>
        <w:rPr>
          <w:rFonts w:ascii="楷体_GB2312" w:hAnsi="楷体_GB2312" w:eastAsia="楷体_GB2312"/>
          <w:b/>
          <w:sz w:val="32"/>
        </w:rPr>
        <w:t>（二）一般公共预算财政拨款支出决算结构情况</w:t>
      </w:r>
    </w:p>
    <w:p w14:paraId="5B08633E">
      <w:pPr>
        <w:spacing w:line="580" w:lineRule="exact"/>
        <w:ind w:firstLine="640"/>
        <w:jc w:val="both"/>
      </w:pPr>
      <w:r>
        <w:rPr>
          <w:rFonts w:ascii="仿宋_GB2312" w:hAnsi="仿宋_GB2312" w:eastAsia="仿宋_GB2312"/>
          <w:b w:val="0"/>
          <w:sz w:val="32"/>
        </w:rPr>
        <w:t>1.一般公共服务支出(类)309.18万元,占48.15%。</w:t>
      </w:r>
    </w:p>
    <w:p w14:paraId="23C44CB9">
      <w:pPr>
        <w:spacing w:line="580" w:lineRule="exact"/>
        <w:ind w:firstLine="640"/>
        <w:jc w:val="both"/>
      </w:pPr>
      <w:r>
        <w:rPr>
          <w:rFonts w:ascii="仿宋_GB2312" w:hAnsi="仿宋_GB2312" w:eastAsia="仿宋_GB2312"/>
          <w:b w:val="0"/>
          <w:sz w:val="32"/>
        </w:rPr>
        <w:t>2.公共安全支出(类)100.88万元,占15.71%。</w:t>
      </w:r>
    </w:p>
    <w:p w14:paraId="47C5D188">
      <w:pPr>
        <w:spacing w:line="580" w:lineRule="exact"/>
        <w:ind w:firstLine="640"/>
        <w:jc w:val="both"/>
      </w:pPr>
      <w:r>
        <w:rPr>
          <w:rFonts w:ascii="仿宋_GB2312" w:hAnsi="仿宋_GB2312" w:eastAsia="仿宋_GB2312"/>
          <w:b w:val="0"/>
          <w:sz w:val="32"/>
        </w:rPr>
        <w:t>3.社会保障和就业支出(类)15.22万元,占2.37%。</w:t>
      </w:r>
    </w:p>
    <w:p w14:paraId="59CCFD4B">
      <w:pPr>
        <w:spacing w:line="580" w:lineRule="exact"/>
        <w:ind w:firstLine="640"/>
        <w:jc w:val="both"/>
      </w:pPr>
      <w:r>
        <w:rPr>
          <w:rFonts w:ascii="仿宋_GB2312" w:hAnsi="仿宋_GB2312" w:eastAsia="仿宋_GB2312"/>
          <w:b w:val="0"/>
          <w:sz w:val="32"/>
        </w:rPr>
        <w:t>4.卫生健康支出(类)8.37万元,占1.30%。</w:t>
      </w:r>
    </w:p>
    <w:p w14:paraId="78BC0BA9">
      <w:pPr>
        <w:spacing w:line="580" w:lineRule="exact"/>
        <w:ind w:firstLine="640"/>
        <w:jc w:val="both"/>
      </w:pPr>
      <w:r>
        <w:rPr>
          <w:rFonts w:ascii="仿宋_GB2312" w:hAnsi="仿宋_GB2312" w:eastAsia="仿宋_GB2312"/>
          <w:b w:val="0"/>
          <w:sz w:val="32"/>
        </w:rPr>
        <w:t>5.城乡社区支出(类)195.99万元,占30.53%。</w:t>
      </w:r>
    </w:p>
    <w:p w14:paraId="00BF486E">
      <w:pPr>
        <w:spacing w:line="580" w:lineRule="exact"/>
        <w:ind w:firstLine="640"/>
        <w:jc w:val="both"/>
      </w:pPr>
      <w:r>
        <w:rPr>
          <w:rFonts w:ascii="仿宋_GB2312" w:hAnsi="仿宋_GB2312" w:eastAsia="仿宋_GB2312"/>
          <w:b w:val="0"/>
          <w:sz w:val="32"/>
        </w:rPr>
        <w:t>6.住房保障支出(类)12.41万元,占1.93%。</w:t>
      </w:r>
    </w:p>
    <w:p w14:paraId="4FEAB336">
      <w:pPr>
        <w:spacing w:line="640" w:lineRule="exact"/>
        <w:ind w:firstLine="640"/>
        <w:jc w:val="both"/>
        <w:outlineLvl w:val="3"/>
      </w:pPr>
      <w:r>
        <w:rPr>
          <w:rFonts w:ascii="楷体_GB2312" w:hAnsi="楷体_GB2312" w:eastAsia="楷体_GB2312"/>
          <w:b/>
          <w:sz w:val="32"/>
        </w:rPr>
        <w:t>（三）一般公共预算财政拨款支出决算具体情况</w:t>
      </w:r>
    </w:p>
    <w:p w14:paraId="2E5F2DF4">
      <w:pPr>
        <w:spacing w:line="580" w:lineRule="exact"/>
        <w:ind w:firstLine="640"/>
        <w:jc w:val="both"/>
      </w:pPr>
      <w:r>
        <w:rPr>
          <w:rFonts w:ascii="仿宋_GB2312" w:hAnsi="仿宋_GB2312" w:eastAsia="仿宋_GB2312"/>
          <w:b w:val="0"/>
          <w:sz w:val="32"/>
        </w:rPr>
        <w:t>1.一般公共服务支出(类)政府办公厅（室）及相关机构事务(款)事业运行(项):支出决算数为274.07万元，比上年决算增加87.18万元，增长46.65%,主要原因是：本年新增聘用人员，人员经费增加，导致经费较上年有所增加。</w:t>
      </w:r>
    </w:p>
    <w:p w14:paraId="64629DB6">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支出决算数为19.09万元，比上年决算减少187.68万元，下降90.77%,主要原因是：本年减少城北转化加工区11县园区工人上下班接送服务，社会保障经费，自由贸易试验区专项工作经费等项目经费，导致相关经费减少。</w:t>
      </w:r>
    </w:p>
    <w:p w14:paraId="37F90797">
      <w:pPr>
        <w:spacing w:line="580" w:lineRule="exact"/>
        <w:ind w:firstLine="640"/>
        <w:jc w:val="both"/>
      </w:pPr>
      <w:r>
        <w:rPr>
          <w:rFonts w:ascii="仿宋_GB2312" w:hAnsi="仿宋_GB2312" w:eastAsia="仿宋_GB2312"/>
          <w:b w:val="0"/>
          <w:sz w:val="32"/>
        </w:rPr>
        <w:t>3.一般公共服务支出(类)商贸事务(款)招商引资(项):支出决算数为16.02万元，比上年决算增加14.07万元，增长721.54%,主要原因是：本年增加招商引资项目资金，导致相关经费增加。</w:t>
      </w:r>
    </w:p>
    <w:p w14:paraId="10A716E5">
      <w:pPr>
        <w:spacing w:line="580" w:lineRule="exact"/>
        <w:ind w:firstLine="640"/>
        <w:jc w:val="both"/>
      </w:pPr>
      <w:r>
        <w:rPr>
          <w:rFonts w:ascii="仿宋_GB2312" w:hAnsi="仿宋_GB2312" w:eastAsia="仿宋_GB2312"/>
          <w:b w:val="0"/>
          <w:sz w:val="32"/>
        </w:rPr>
        <w:t>4.一般公共服务支出(类)组织事务(款)其他组织事务支出(项):支出决算数为0.00万元，比上年决算减少1.00万元，下降100.00%,主要原因是：本年减少两优一先表彰奖励项目，导致相关经费减少。</w:t>
      </w:r>
    </w:p>
    <w:p w14:paraId="047B4977">
      <w:pPr>
        <w:spacing w:line="580" w:lineRule="exact"/>
        <w:ind w:firstLine="640"/>
        <w:jc w:val="both"/>
      </w:pPr>
      <w:r>
        <w:rPr>
          <w:rFonts w:ascii="仿宋_GB2312" w:hAnsi="仿宋_GB2312" w:eastAsia="仿宋_GB2312"/>
          <w:b w:val="0"/>
          <w:sz w:val="32"/>
        </w:rPr>
        <w:t>5.公共安全支出(类)公安(款)其他公安支出(项):支出决算数为100.88万元，比上年决算增加52.06万元，增长106.64%,主要原因是：本年增加公共安全建设项目经费，导致相关经费增加。</w:t>
      </w:r>
    </w:p>
    <w:p w14:paraId="0C8BBB9C">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15.22万元，比上年决算减少6.20万元，下降28.94%,主要原因是：本年在职人员调入调出，人员职级不同，缴费基数不同，导致养老保险缴费较上年减少。</w:t>
      </w:r>
    </w:p>
    <w:p w14:paraId="1D93AB57">
      <w:pPr>
        <w:spacing w:line="580" w:lineRule="exact"/>
        <w:ind w:firstLine="640"/>
        <w:jc w:val="both"/>
      </w:pPr>
      <w:r>
        <w:rPr>
          <w:rFonts w:ascii="仿宋_GB2312" w:hAnsi="仿宋_GB2312" w:eastAsia="仿宋_GB2312"/>
          <w:b w:val="0"/>
          <w:sz w:val="32"/>
        </w:rPr>
        <w:t>7.卫生健康支出(类)行政事业单位医疗(款)事业单位医疗(项):支出决算数为6.47万元，比上年决算减少2.64万元，下降28.98%,主要原因是：本年在职人员调入调出，人员职级不同，缴费基数不同，导致事业单位医疗较上年减少。</w:t>
      </w:r>
    </w:p>
    <w:p w14:paraId="0FA4B7C0">
      <w:pPr>
        <w:spacing w:line="580" w:lineRule="exact"/>
        <w:ind w:firstLine="640"/>
        <w:jc w:val="both"/>
      </w:pPr>
      <w:r>
        <w:rPr>
          <w:rFonts w:ascii="仿宋_GB2312" w:hAnsi="仿宋_GB2312" w:eastAsia="仿宋_GB2312"/>
          <w:b w:val="0"/>
          <w:sz w:val="32"/>
        </w:rPr>
        <w:t>8.卫生健康支出(类)行政事业单位医疗(款)公务员医疗补助(项):支出决算数为1.90万元，比上年决算增加0.49万元，增长34.75%,主要原因是：本年在职人员增加，公务员医疗补助较上年增加。</w:t>
      </w:r>
    </w:p>
    <w:p w14:paraId="1C433EA3">
      <w:pPr>
        <w:spacing w:line="580" w:lineRule="exact"/>
        <w:ind w:firstLine="640"/>
        <w:jc w:val="both"/>
      </w:pPr>
      <w:r>
        <w:rPr>
          <w:rFonts w:ascii="仿宋_GB2312" w:hAnsi="仿宋_GB2312" w:eastAsia="仿宋_GB2312"/>
          <w:b w:val="0"/>
          <w:sz w:val="32"/>
        </w:rPr>
        <w:t>9.城乡社区支出(类)城乡社区公共设施(款)小城镇基础设施建设(项):支出决算数为102.40万元，比上年决算减少2,559.06万元，下降96.15%,主要原因是：本年减少喀什经济开发区城北转化加工区十一县基础设施建设、喀什经济开发区城北转化加工区公租房及配套设施等建设等项目经费，导致相关经费减少。</w:t>
      </w:r>
    </w:p>
    <w:p w14:paraId="3BFBE6F9">
      <w:pPr>
        <w:spacing w:line="580" w:lineRule="exact"/>
        <w:ind w:firstLine="640"/>
        <w:jc w:val="both"/>
      </w:pPr>
      <w:r>
        <w:rPr>
          <w:rFonts w:ascii="仿宋_GB2312" w:hAnsi="仿宋_GB2312" w:eastAsia="仿宋_GB2312"/>
          <w:b w:val="0"/>
          <w:sz w:val="32"/>
        </w:rPr>
        <w:t>10.城乡社区支出(类)城乡社区公共设施(款)其他城乡社区公共设施支出(项):支出决算数为93.59万元，比上年决算增加2.91万元，增长3.21%,主要原因是：本年新增城北运营保障项目经费，导致相关经费增加。</w:t>
      </w:r>
    </w:p>
    <w:p w14:paraId="6D6583B5">
      <w:pPr>
        <w:spacing w:line="580" w:lineRule="exact"/>
        <w:ind w:firstLine="640"/>
        <w:jc w:val="both"/>
      </w:pPr>
      <w:r>
        <w:rPr>
          <w:rFonts w:ascii="仿宋_GB2312" w:hAnsi="仿宋_GB2312" w:eastAsia="仿宋_GB2312"/>
          <w:b w:val="0"/>
          <w:sz w:val="32"/>
        </w:rPr>
        <w:t>11.城乡社区支出(类)城乡社区环境卫生(款)城乡社区环境卫生(项):支出决算数为0.00万元，比上年决算减少319.87万元，下降100.00%,主要原因是：本年减少城北道路绿化养护项目经费，导致相关经费减少。</w:t>
      </w:r>
    </w:p>
    <w:p w14:paraId="0EA2FAD0">
      <w:pPr>
        <w:spacing w:line="580" w:lineRule="exact"/>
        <w:ind w:firstLine="640"/>
        <w:jc w:val="both"/>
      </w:pPr>
      <w:r>
        <w:rPr>
          <w:rFonts w:ascii="仿宋_GB2312" w:hAnsi="仿宋_GB2312" w:eastAsia="仿宋_GB2312"/>
          <w:b w:val="0"/>
          <w:sz w:val="32"/>
        </w:rPr>
        <w:t>12.城乡社区支出(类)其他城乡社区支出(款)其他城乡社区支出(项):支出决算数为0.00万元，比上年决算减少60.47万元，下降100.00%,主要原因是：本年减少城北转化加工区宣传门头建设、城北加工区高炮及宣传牌设置工程项目审计费等项目经费，导致相关经费减少。</w:t>
      </w:r>
    </w:p>
    <w:p w14:paraId="656F86A1">
      <w:pPr>
        <w:spacing w:line="580" w:lineRule="exact"/>
        <w:ind w:firstLine="640"/>
        <w:jc w:val="both"/>
      </w:pPr>
      <w:r>
        <w:rPr>
          <w:rFonts w:ascii="仿宋_GB2312" w:hAnsi="仿宋_GB2312" w:eastAsia="仿宋_GB2312"/>
          <w:b w:val="0"/>
          <w:sz w:val="32"/>
        </w:rPr>
        <w:t>13.住房保障支出(类)住房改革支出(款)住房公积金(项):支出决算数为12.41万元，比上年决算减少3.27万元，下降20.85%,主要原因是：本年在职人员调入调出，人员职级不同，缴费基数不同，导致住房公积金较上年减少。</w:t>
      </w:r>
    </w:p>
    <w:p w14:paraId="35AB2346">
      <w:pPr>
        <w:spacing w:line="640" w:lineRule="exact"/>
        <w:ind w:firstLine="640"/>
        <w:jc w:val="both"/>
        <w:outlineLvl w:val="2"/>
      </w:pPr>
      <w:r>
        <w:rPr>
          <w:rFonts w:ascii="黑体" w:hAnsi="黑体" w:eastAsia="黑体"/>
          <w:sz w:val="32"/>
        </w:rPr>
        <w:t>六、一般公共预算财政拨款基本支出决算情况说明</w:t>
      </w:r>
    </w:p>
    <w:p w14:paraId="264E03F5">
      <w:pPr>
        <w:spacing w:line="580" w:lineRule="exact"/>
        <w:ind w:firstLine="640"/>
        <w:jc w:val="both"/>
      </w:pPr>
      <w:r>
        <w:rPr>
          <w:rFonts w:ascii="仿宋_GB2312" w:hAnsi="仿宋_GB2312" w:eastAsia="仿宋_GB2312"/>
          <w:b w:val="0"/>
          <w:sz w:val="32"/>
        </w:rPr>
        <w:t>2024年度一般公共预算财政拨款基本支出310.08万元，其中：</w:t>
      </w:r>
      <w:r>
        <w:rPr>
          <w:rFonts w:ascii="仿宋_GB2312" w:hAnsi="仿宋_GB2312" w:eastAsia="仿宋_GB2312"/>
          <w:b/>
          <w:sz w:val="32"/>
        </w:rPr>
        <w:t>人员经费296.17万元，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包括：基本工资、津贴补贴、奖金、绩效工资、机关事业单位基本养老保险缴费、职工基本医疗保险缴费、公务员医疗补助缴费、其他社会保障缴费、住房公积金、其他工资福利支出。</w:t>
      </w:r>
    </w:p>
    <w:p w14:paraId="0D95982D">
      <w:pPr>
        <w:spacing w:line="580" w:lineRule="exact"/>
        <w:ind w:firstLine="640"/>
        <w:jc w:val="both"/>
      </w:pPr>
      <w:r>
        <w:rPr>
          <w:rFonts w:ascii="仿宋_GB2312" w:hAnsi="仿宋_GB2312" w:eastAsia="仿宋_GB2312"/>
          <w:b/>
          <w:sz w:val="32"/>
        </w:rPr>
        <w:t>公用经费13.91万元，</w:t>
      </w:r>
      <w:r>
        <w:rPr>
          <w:rFonts w:ascii="仿宋_GB2312" w:hAnsi="仿宋_GB2312" w:eastAsia="仿宋_GB2312"/>
          <w:b w:val="0"/>
          <w:sz w:val="32"/>
        </w:rPr>
        <w:t>包括：办公费、印刷费、水费、电费、邮电费、差旅费、维修（护）费、公务用车运行维护费、其他商品和服务支出。</w:t>
      </w:r>
    </w:p>
    <w:p w14:paraId="289F6E28">
      <w:pPr>
        <w:spacing w:line="640" w:lineRule="exact"/>
        <w:ind w:firstLine="640"/>
        <w:jc w:val="both"/>
        <w:outlineLvl w:val="2"/>
      </w:pPr>
      <w:r>
        <w:rPr>
          <w:rFonts w:ascii="黑体" w:hAnsi="黑体" w:eastAsia="黑体"/>
          <w:sz w:val="32"/>
        </w:rPr>
        <w:t>七、政府性基金预算财政拨款收入支出决算情况说明</w:t>
      </w:r>
    </w:p>
    <w:p w14:paraId="13E070E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17B13A6">
      <w:pPr>
        <w:spacing w:line="640" w:lineRule="exact"/>
        <w:ind w:firstLine="640"/>
        <w:jc w:val="both"/>
        <w:outlineLvl w:val="2"/>
      </w:pPr>
      <w:r>
        <w:rPr>
          <w:rFonts w:ascii="黑体" w:hAnsi="黑体" w:eastAsia="黑体"/>
          <w:sz w:val="32"/>
        </w:rPr>
        <w:t>八、国有资本经营预算财政拨款收入支出决算情况说明</w:t>
      </w:r>
    </w:p>
    <w:p w14:paraId="152D0F0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6C569E8">
      <w:pPr>
        <w:spacing w:line="640" w:lineRule="exact"/>
        <w:ind w:firstLine="640"/>
        <w:jc w:val="both"/>
        <w:outlineLvl w:val="2"/>
      </w:pPr>
      <w:r>
        <w:rPr>
          <w:rFonts w:ascii="黑体" w:hAnsi="黑体" w:eastAsia="黑体"/>
          <w:sz w:val="32"/>
        </w:rPr>
        <w:t>九、财政拨款“三公”经费支出决算情况说明</w:t>
      </w:r>
    </w:p>
    <w:p w14:paraId="5C9AD6D2">
      <w:pPr>
        <w:spacing w:line="580" w:lineRule="exact"/>
        <w:ind w:firstLine="640"/>
        <w:jc w:val="both"/>
      </w:pPr>
      <w:r>
        <w:rPr>
          <w:rFonts w:ascii="仿宋_GB2312" w:hAnsi="仿宋_GB2312" w:eastAsia="仿宋_GB2312"/>
          <w:b/>
          <w:sz w:val="32"/>
        </w:rPr>
        <w:t>2024年度财政拨款“三公”经费支出2.07万元，</w:t>
      </w:r>
      <w:r>
        <w:rPr>
          <w:rFonts w:ascii="仿宋_GB2312" w:hAnsi="仿宋_GB2312" w:eastAsia="仿宋_GB2312"/>
          <w:b w:val="0"/>
          <w:sz w:val="32"/>
        </w:rPr>
        <w:t>比上年增加2.07万元，增长100.00%，主要原因是：</w:t>
      </w:r>
      <w:r>
        <w:rPr>
          <w:rFonts w:hint="eastAsia" w:ascii="仿宋_GB2312" w:hAnsi="仿宋_GB2312" w:eastAsia="仿宋_GB2312"/>
          <w:b w:val="0"/>
          <w:sz w:val="32"/>
          <w:lang w:val="en-US" w:eastAsia="zh-CN"/>
        </w:rPr>
        <w:t>本年将车辆纳入公务用车管理，增加车辆运行经费</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2.07万元，占100.00%，比上年增加2.07万元，增长100.00%，主要原因是：</w:t>
      </w:r>
      <w:r>
        <w:rPr>
          <w:rFonts w:hint="eastAsia" w:ascii="仿宋_GB2312" w:hAnsi="仿宋_GB2312" w:eastAsia="仿宋_GB2312"/>
          <w:b w:val="0"/>
          <w:sz w:val="32"/>
          <w:lang w:val="en-US" w:eastAsia="zh-CN"/>
        </w:rPr>
        <w:t>本年将车辆纳入公务用车管理，增加车辆运行经费</w:t>
      </w:r>
      <w:r>
        <w:rPr>
          <w:rFonts w:ascii="仿宋_GB2312" w:hAnsi="仿宋_GB2312" w:eastAsia="仿宋_GB2312"/>
          <w:b w:val="0"/>
          <w:sz w:val="32"/>
        </w:rPr>
        <w:t>。公务接待费支出0.00万元，占0.00%，比上年增加0.00万元，增长0.00%，主要原因是：2023年与2024年均未安排公务接待费支出。</w:t>
      </w:r>
    </w:p>
    <w:p w14:paraId="42512A2B">
      <w:pPr>
        <w:spacing w:line="580" w:lineRule="exact"/>
        <w:ind w:firstLine="640"/>
        <w:jc w:val="both"/>
      </w:pPr>
      <w:r>
        <w:rPr>
          <w:rFonts w:ascii="仿宋_GB2312" w:hAnsi="仿宋_GB2312" w:eastAsia="仿宋_GB2312"/>
          <w:b/>
          <w:sz w:val="32"/>
        </w:rPr>
        <w:t>具体情况如下：</w:t>
      </w:r>
    </w:p>
    <w:p w14:paraId="32F782B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3CED0B9">
      <w:pPr>
        <w:spacing w:line="580" w:lineRule="exact"/>
        <w:ind w:firstLine="640"/>
        <w:jc w:val="both"/>
      </w:pPr>
      <w:r>
        <w:rPr>
          <w:rFonts w:ascii="仿宋_GB2312" w:hAnsi="仿宋_GB2312" w:eastAsia="仿宋_GB2312"/>
          <w:b w:val="0"/>
          <w:sz w:val="32"/>
        </w:rPr>
        <w:t>公务用车购置及运行维护费2.07万元，其中：公务用车购置费0.00万元，公务用车运行维护费2.07万元。公务用车运行维护费开支内容包括车辆加油费、维修费、保险费、审车费、过路费等。公务用车购置数0辆，公务用车保有量1辆。国有资产占用情况中固定资产车辆0辆，与公务用车保有量差异原因是：借用其他单位车辆，车辆费用由本单位支付。</w:t>
      </w:r>
    </w:p>
    <w:p w14:paraId="4C124A2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EEDEF5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2.07万元，决算数2.07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2.07万元，决算数2.07万元，预决算差异率0.00%，主要原因是：严格按照预算执行，预决算无差异。公务接待费全年预算数0.00万元，决算数0.00万元，预决算差异率0.00%，主要原因是：本单位无公务接待费。</w:t>
      </w:r>
    </w:p>
    <w:p w14:paraId="6954E575">
      <w:pPr>
        <w:spacing w:line="640" w:lineRule="exact"/>
        <w:ind w:firstLine="640"/>
        <w:jc w:val="both"/>
        <w:outlineLvl w:val="2"/>
      </w:pPr>
      <w:r>
        <w:rPr>
          <w:rFonts w:ascii="黑体" w:hAnsi="黑体" w:eastAsia="黑体"/>
          <w:sz w:val="32"/>
        </w:rPr>
        <w:t>十、其他重要事项的情况说明</w:t>
      </w:r>
    </w:p>
    <w:p w14:paraId="2C4B9841">
      <w:pPr>
        <w:spacing w:line="640" w:lineRule="exact"/>
        <w:ind w:firstLine="640"/>
        <w:jc w:val="both"/>
        <w:outlineLvl w:val="3"/>
      </w:pPr>
      <w:r>
        <w:rPr>
          <w:rFonts w:ascii="楷体_GB2312" w:hAnsi="楷体_GB2312" w:eastAsia="楷体_GB2312"/>
          <w:b/>
          <w:sz w:val="32"/>
        </w:rPr>
        <w:t>（一）机关运行经费及公用经费支出情况</w:t>
      </w:r>
    </w:p>
    <w:p w14:paraId="6AE52F3A">
      <w:pPr>
        <w:spacing w:line="580" w:lineRule="exact"/>
        <w:ind w:firstLine="640"/>
        <w:jc w:val="both"/>
      </w:pPr>
      <w:r>
        <w:rPr>
          <w:rFonts w:ascii="仿宋_GB2312" w:hAnsi="仿宋_GB2312" w:eastAsia="仿宋_GB2312"/>
          <w:b w:val="0"/>
          <w:sz w:val="32"/>
        </w:rPr>
        <w:t>2024年度喀什经济开发区城北加工产业发展服务中心（事业单位）公用经费支出13.91万元，比上年增加5.28万元，增长61.18%，主要原因是：本年增加公务用车运行维护费、办公费等经费，公用经费支出增加。</w:t>
      </w:r>
    </w:p>
    <w:p w14:paraId="372933A3">
      <w:pPr>
        <w:spacing w:line="640" w:lineRule="exact"/>
        <w:ind w:firstLine="640"/>
        <w:jc w:val="both"/>
        <w:outlineLvl w:val="3"/>
      </w:pPr>
      <w:r>
        <w:rPr>
          <w:rFonts w:ascii="楷体_GB2312" w:hAnsi="楷体_GB2312" w:eastAsia="楷体_GB2312"/>
          <w:b/>
          <w:sz w:val="32"/>
        </w:rPr>
        <w:t>（二）政府采购情况</w:t>
      </w:r>
    </w:p>
    <w:p w14:paraId="131D3E1E">
      <w:pPr>
        <w:spacing w:line="580" w:lineRule="exact"/>
        <w:ind w:firstLine="640"/>
        <w:jc w:val="both"/>
      </w:pPr>
      <w:r>
        <w:rPr>
          <w:rFonts w:ascii="仿宋_GB2312" w:hAnsi="仿宋_GB2312" w:eastAsia="仿宋_GB2312"/>
          <w:b w:val="0"/>
          <w:sz w:val="32"/>
        </w:rPr>
        <w:t>2024年度政府采购支出总额249.08万元，其中：政府采购货物支出25.14万元、政府采购工程支出211.18万元、政府采购服务支出12.75万元。</w:t>
      </w:r>
    </w:p>
    <w:p w14:paraId="3AA65A52">
      <w:pPr>
        <w:spacing w:line="580" w:lineRule="exact"/>
        <w:ind w:firstLine="640"/>
        <w:jc w:val="both"/>
      </w:pPr>
      <w:r>
        <w:rPr>
          <w:rFonts w:ascii="仿宋_GB2312" w:hAnsi="仿宋_GB2312" w:eastAsia="仿宋_GB2312"/>
          <w:b w:val="0"/>
          <w:sz w:val="32"/>
        </w:rPr>
        <w:t>授予中小企业合同金额248.34万元，占政府采购支出总额的99.70%，其中：授予小微企业合同金额241.23万元，占政府采购支出总额的96.85%。</w:t>
      </w:r>
    </w:p>
    <w:p w14:paraId="297F74FB">
      <w:pPr>
        <w:spacing w:line="640" w:lineRule="exact"/>
        <w:ind w:firstLine="640"/>
        <w:jc w:val="both"/>
        <w:outlineLvl w:val="3"/>
      </w:pPr>
      <w:r>
        <w:rPr>
          <w:rFonts w:ascii="楷体_GB2312" w:hAnsi="楷体_GB2312" w:eastAsia="楷体_GB2312"/>
          <w:b/>
          <w:sz w:val="32"/>
        </w:rPr>
        <w:t>（三）国有资产占用情况说明</w:t>
      </w:r>
    </w:p>
    <w:p w14:paraId="7D1DA358">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69B61F7">
      <w:pPr>
        <w:spacing w:line="640" w:lineRule="exact"/>
        <w:ind w:firstLine="640"/>
        <w:jc w:val="both"/>
        <w:outlineLvl w:val="2"/>
      </w:pPr>
      <w:r>
        <w:rPr>
          <w:rFonts w:ascii="黑体" w:hAnsi="黑体" w:eastAsia="黑体"/>
          <w:sz w:val="32"/>
        </w:rPr>
        <w:t>十一、预算绩效的情况说明</w:t>
      </w:r>
    </w:p>
    <w:p w14:paraId="18D7178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2,693.70万元，实际执行总额2,613.57万元；预算绩效评价项目5个，全年预算数258.63万元，全年执行数231.69万元。预算绩效管理取得的成效：一是坚持选优择强，产业结构持续优化。深入实施“产业兴区”战略，持续推进上下游产业协同互补发展，实现11县“飞地园区”错位发展。一是持续壮大特色优势产业。配合地区工信局制定并出台《喀什城北加工产业转化区产业布局建议》，重点发展先进装备制造、锂电、新能源新材料及电子信息产业。二是坚持多元招商，招商成效持续提升。坚持把招商引资工作</w:t>
      </w:r>
      <w:r>
        <w:rPr>
          <w:rFonts w:hint="eastAsia" w:ascii="仿宋_GB2312" w:hAnsi="仿宋_GB2312" w:eastAsia="仿宋_GB2312"/>
          <w:b w:val="0"/>
          <w:sz w:val="32"/>
          <w:lang w:eastAsia="zh-CN"/>
        </w:rPr>
        <w:t>当作</w:t>
      </w:r>
      <w:r>
        <w:rPr>
          <w:rFonts w:ascii="仿宋_GB2312" w:hAnsi="仿宋_GB2312" w:eastAsia="仿宋_GB2312"/>
          <w:b w:val="0"/>
          <w:sz w:val="32"/>
        </w:rPr>
        <w:t>城北的头等大事纳入“一把手工程”，大搞宣传、广开渠道、狠抓服务，形成党员干部全动员、落地企业齐招商的良好局面。发现的问题及原因：一是预算执行存在偏差，由于个别项目指标到第四季度下达，在预算执行中造成个别预算子项调剂现象；对个别项目资金使用方面预算不够细致，出现实际支出数超出了预算申报数或出现项目资金结余数额多的情况，导致调剂频繁，缺乏预算编制的科学性。二是预算绩效管理水平仍有欠缺，在2024年预算绩效管理工作中，存在“重投入轻管理、重支出轻绩效”的情况，对全面实施预算绩效管理的要求认识还不到位，项目申报、实施等环节与预算绩效管理各个环节联系不够紧密。下一步改进措施：减少在预算执行中造成个别预算子项调剂现象；加强对个别项目资金使用方</w:t>
      </w:r>
      <w:r>
        <w:rPr>
          <w:rFonts w:hint="eastAsia" w:ascii="仿宋_GB2312" w:hAnsi="仿宋_GB2312" w:eastAsia="仿宋_GB2312"/>
          <w:b w:val="0"/>
          <w:sz w:val="32"/>
          <w:lang w:eastAsia="zh-CN"/>
        </w:rPr>
        <w:t>面的</w:t>
      </w:r>
      <w:r>
        <w:rPr>
          <w:rFonts w:ascii="仿宋_GB2312" w:hAnsi="仿宋_GB2312" w:eastAsia="仿宋_GB2312"/>
          <w:b w:val="0"/>
          <w:sz w:val="32"/>
        </w:rPr>
        <w:t>预算，避免出现实际支出数超出预算申报数或出现项目资金结余数额多的情况，导致调剂频繁，缺乏预算编制的科学性。具体附整体支出绩效自评表，项目支出绩效自评表和评价报告。</w:t>
      </w:r>
    </w:p>
    <w:p w14:paraId="707DA7D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10984AA">
        <w:tblPrEx>
          <w:tblCellMar>
            <w:top w:w="0" w:type="dxa"/>
            <w:left w:w="108" w:type="dxa"/>
            <w:bottom w:w="0" w:type="dxa"/>
            <w:right w:w="108" w:type="dxa"/>
          </w:tblCellMar>
        </w:tblPrEx>
        <w:tc>
          <w:tcPr>
            <w:tcW w:w="8847" w:type="dxa"/>
            <w:gridSpan w:val="9"/>
            <w:vAlign w:val="center"/>
          </w:tcPr>
          <w:p w14:paraId="567DBF4B">
            <w:pPr>
              <w:jc w:val="center"/>
            </w:pPr>
            <w:r>
              <w:rPr>
                <w:rFonts w:ascii="宋体" w:hAnsi="宋体" w:eastAsia="宋体"/>
                <w:sz w:val="24"/>
              </w:rPr>
              <w:t>单位整体支出绩效自评表</w:t>
            </w:r>
          </w:p>
        </w:tc>
      </w:tr>
      <w:tr w14:paraId="6EBE166F">
        <w:tblPrEx>
          <w:tblCellMar>
            <w:top w:w="0" w:type="dxa"/>
            <w:left w:w="108" w:type="dxa"/>
            <w:bottom w:w="0" w:type="dxa"/>
            <w:right w:w="108" w:type="dxa"/>
          </w:tblCellMar>
        </w:tblPrEx>
        <w:tc>
          <w:tcPr>
            <w:tcW w:w="8847" w:type="dxa"/>
            <w:gridSpan w:val="9"/>
            <w:vAlign w:val="center"/>
          </w:tcPr>
          <w:p w14:paraId="4E033005">
            <w:pPr>
              <w:jc w:val="center"/>
            </w:pPr>
            <w:r>
              <w:rPr>
                <w:rFonts w:ascii="宋体" w:hAnsi="宋体" w:eastAsia="宋体"/>
                <w:sz w:val="24"/>
              </w:rPr>
              <w:t>（2024年度）</w:t>
            </w:r>
          </w:p>
        </w:tc>
      </w:tr>
      <w:tr w14:paraId="40E783D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84B0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3817F19">
            <w:pPr>
              <w:jc w:val="center"/>
            </w:pPr>
            <w:r>
              <w:rPr>
                <w:rFonts w:ascii="宋体" w:hAnsi="宋体" w:eastAsia="宋体"/>
                <w:sz w:val="16"/>
              </w:rPr>
              <w:t>喀什经济开发区城北加工产业发展服务中心</w:t>
            </w:r>
          </w:p>
        </w:tc>
      </w:tr>
      <w:tr w14:paraId="580861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BF867">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D307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C494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3D87F">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C930E">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2CB5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38C5D">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D6488">
            <w:pPr>
              <w:jc w:val="center"/>
            </w:pPr>
            <w:r>
              <w:rPr>
                <w:rFonts w:ascii="宋体" w:hAnsi="宋体" w:eastAsia="宋体"/>
                <w:sz w:val="16"/>
              </w:rPr>
              <w:t>得分</w:t>
            </w:r>
          </w:p>
        </w:tc>
      </w:tr>
      <w:tr w14:paraId="5B87C9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51A2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9D37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F36AB">
            <w:pPr>
              <w:jc w:val="center"/>
            </w:pPr>
            <w:r>
              <w:rPr>
                <w:rFonts w:ascii="宋体" w:hAnsi="宋体" w:eastAsia="宋体"/>
                <w:sz w:val="16"/>
              </w:rPr>
              <w:t>4,857.72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FC850">
            <w:pPr>
              <w:jc w:val="center"/>
            </w:pPr>
            <w:r>
              <w:rPr>
                <w:rFonts w:ascii="宋体" w:hAnsi="宋体" w:eastAsia="宋体"/>
                <w:sz w:val="16"/>
              </w:rPr>
              <w:t>2,693.70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5EA68">
            <w:pPr>
              <w:jc w:val="center"/>
            </w:pPr>
            <w:r>
              <w:rPr>
                <w:rFonts w:ascii="宋体" w:hAnsi="宋体" w:eastAsia="宋体"/>
                <w:sz w:val="16"/>
              </w:rPr>
              <w:t>2,613.57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055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00A7A">
            <w:pPr>
              <w:jc w:val="center"/>
            </w:pPr>
            <w:r>
              <w:rPr>
                <w:rFonts w:ascii="宋体" w:hAnsi="宋体" w:eastAsia="宋体"/>
                <w:sz w:val="16"/>
              </w:rPr>
              <w:t>97.03%</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2CF8F">
            <w:pPr>
              <w:jc w:val="center"/>
            </w:pPr>
            <w:r>
              <w:rPr>
                <w:rFonts w:ascii="宋体" w:hAnsi="宋体" w:eastAsia="宋体"/>
                <w:sz w:val="16"/>
              </w:rPr>
              <w:t>9.7</w:t>
            </w:r>
          </w:p>
        </w:tc>
      </w:tr>
      <w:tr w14:paraId="49C3DD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5A24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3C25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C25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427AF">
            <w:pPr>
              <w:jc w:val="center"/>
            </w:pPr>
            <w:r>
              <w:rPr>
                <w:rFonts w:ascii="宋体" w:hAnsi="宋体" w:eastAsia="宋体"/>
                <w:sz w:val="16"/>
              </w:rPr>
              <w:t>8.35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F8493">
            <w:pPr>
              <w:jc w:val="center"/>
            </w:pPr>
            <w:r>
              <w:rPr>
                <w:rFonts w:ascii="宋体" w:hAnsi="宋体" w:eastAsia="宋体"/>
                <w:sz w:val="16"/>
              </w:rPr>
              <w:t>8.35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5B4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E5D8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6C450">
            <w:pPr>
              <w:jc w:val="center"/>
            </w:pPr>
            <w:r>
              <w:rPr>
                <w:rFonts w:ascii="宋体" w:hAnsi="宋体" w:eastAsia="宋体"/>
                <w:sz w:val="16"/>
              </w:rPr>
              <w:t>—</w:t>
            </w:r>
          </w:p>
        </w:tc>
      </w:tr>
      <w:tr w14:paraId="096753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7D93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06C02">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EE5E3">
            <w:pPr>
              <w:jc w:val="center"/>
            </w:pPr>
            <w:r>
              <w:rPr>
                <w:rFonts w:ascii="宋体" w:hAnsi="宋体" w:eastAsia="宋体"/>
                <w:sz w:val="16"/>
              </w:rPr>
              <w:t>4,857.72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0D135">
            <w:pPr>
              <w:jc w:val="center"/>
            </w:pPr>
            <w:r>
              <w:rPr>
                <w:rFonts w:ascii="宋体" w:hAnsi="宋体" w:eastAsia="宋体"/>
                <w:sz w:val="16"/>
              </w:rPr>
              <w:t>2,685.35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F0268">
            <w:pPr>
              <w:jc w:val="center"/>
            </w:pPr>
            <w:r>
              <w:rPr>
                <w:rFonts w:ascii="宋体" w:hAnsi="宋体" w:eastAsia="宋体"/>
                <w:sz w:val="16"/>
              </w:rPr>
              <w:t>2,605.22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439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8A50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C5774">
            <w:pPr>
              <w:jc w:val="center"/>
            </w:pPr>
            <w:r>
              <w:rPr>
                <w:rFonts w:ascii="宋体" w:hAnsi="宋体" w:eastAsia="宋体"/>
                <w:sz w:val="16"/>
              </w:rPr>
              <w:t>—</w:t>
            </w:r>
          </w:p>
        </w:tc>
      </w:tr>
      <w:tr w14:paraId="3615B4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0B0E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1637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242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63E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E35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333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5388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F9144">
            <w:pPr>
              <w:jc w:val="center"/>
            </w:pPr>
            <w:r>
              <w:rPr>
                <w:rFonts w:ascii="宋体" w:hAnsi="宋体" w:eastAsia="宋体"/>
                <w:sz w:val="16"/>
              </w:rPr>
              <w:t>—</w:t>
            </w:r>
          </w:p>
        </w:tc>
      </w:tr>
      <w:tr w14:paraId="78BD59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1046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E624F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60349C">
            <w:pPr>
              <w:jc w:val="center"/>
            </w:pPr>
            <w:r>
              <w:rPr>
                <w:rFonts w:ascii="宋体" w:hAnsi="宋体" w:eastAsia="宋体"/>
                <w:sz w:val="16"/>
              </w:rPr>
              <w:t>实际完成情况</w:t>
            </w:r>
          </w:p>
        </w:tc>
      </w:tr>
      <w:tr w14:paraId="6B9234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5885B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14122D">
            <w:pPr>
              <w:jc w:val="both"/>
            </w:pPr>
            <w:r>
              <w:rPr>
                <w:rFonts w:ascii="宋体" w:hAnsi="宋体" w:eastAsia="宋体"/>
                <w:sz w:val="16"/>
              </w:rPr>
              <w:t>喀什经济开发区城北加工产业发展服务中心负责统筹城北加工转化区规划建设，推进基础工程和项目建设，协调相关产业发展要素，向装备产业园、11县产业园等平台提供必要市政服务；负责协调社区</w:t>
            </w:r>
            <w:bookmarkStart w:id="0" w:name="_GoBack"/>
            <w:bookmarkEnd w:id="0"/>
            <w:r>
              <w:rPr>
                <w:rFonts w:ascii="宋体" w:hAnsi="宋体" w:eastAsia="宋体"/>
                <w:sz w:val="16"/>
              </w:rPr>
              <w:t>和警务站等工作，维护社会</w:t>
            </w:r>
            <w:r>
              <w:rPr>
                <w:rFonts w:hint="eastAsia" w:ascii="宋体" w:hAnsi="宋体"/>
                <w:sz w:val="16"/>
                <w:lang w:val="en-US" w:eastAsia="zh-CN"/>
              </w:rPr>
              <w:t>WD</w:t>
            </w:r>
            <w:r>
              <w:rPr>
                <w:rFonts w:ascii="宋体" w:hAnsi="宋体" w:eastAsia="宋体"/>
                <w:sz w:val="16"/>
              </w:rPr>
              <w:t>，化解社会矛盾，治安保卫工作，维护辖区的良好秩序；承担经济管理，改善营商环境、促进经济发展；负责贯彻国家、自治区、地区、开发区产业发展规划及各项方针政策；做好辖区招商引资、企业服务；协助有关部门抓好安全生产等工作；负责辖区公共服务设施的管护；负责辖区公共配套设施产权及物业管理；负责中心党组织建设和辖区“两新”组织建设等工作。将总体目标分解为产出和效益，计划招商引资到位资金8亿元，新增市场主体150家，实现就业人数0.8万人，计划完成固定资产投资8亿元，实现新升规企业5家。用好用活自贸区等四大平台政策优势，担当作为，感恩奋进，全力推动城北加工转化区高质量发展和高水平开放，坚持以党建为引领，持续在讲政治守纪律上下功夫，坚</w:t>
            </w:r>
            <w:r>
              <w:rPr>
                <w:rFonts w:hint="eastAsia" w:ascii="宋体" w:hAnsi="宋体"/>
                <w:sz w:val="16"/>
                <w:lang w:eastAsia="zh-CN"/>
              </w:rPr>
              <w:t>持以</w:t>
            </w:r>
            <w:r>
              <w:rPr>
                <w:rFonts w:ascii="宋体" w:hAnsi="宋体" w:eastAsia="宋体"/>
                <w:sz w:val="16"/>
              </w:rPr>
              <w:t>产业为纲，持续在培育主导产业上下功夫，坚持以项目为王，持续在加大引强上下功夫，坚持以改革为要，持续在提升软硬环境上下功夫，坚持以创新为上，持续在科学管理上下功夫。</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BE722D">
            <w:pPr>
              <w:jc w:val="both"/>
            </w:pPr>
            <w:r>
              <w:rPr>
                <w:rFonts w:ascii="宋体" w:hAnsi="宋体" w:eastAsia="宋体"/>
                <w:sz w:val="16"/>
              </w:rPr>
              <w:t xml:space="preserve">2024年，城北转化加工区管理服务中心高效履行经济管理职能，以优化营商环境为抓手，全力推动区域经济发展。在招商引资、企业服务、安全生产等领域精准发力，成果显著。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全年累计实现招商引资到位资金29.43亿元，新增市场主体302家，带动10541人就业，完成固定资产投资16.2亿元，培育新升规企业14家。依托自贸区等四大平台政策优势，中心全体人员担当作为、真抓实干，全面激活区域发展动能，有力推动城北加工转化区迈向高质量发展与高水平开放新征程。</w:t>
            </w:r>
          </w:p>
        </w:tc>
      </w:tr>
      <w:tr w14:paraId="28B95FC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A814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341B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B0EE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AA45A">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7991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774E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4DFD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EFE73">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0B693">
            <w:pPr>
              <w:jc w:val="center"/>
            </w:pPr>
            <w:r>
              <w:rPr>
                <w:rFonts w:ascii="宋体" w:hAnsi="宋体" w:eastAsia="宋体"/>
                <w:sz w:val="16"/>
              </w:rPr>
              <w:t>得分</w:t>
            </w:r>
          </w:p>
        </w:tc>
      </w:tr>
      <w:tr w14:paraId="2A4C6F9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92E9D">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DA10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4E870">
            <w:pPr>
              <w:jc w:val="center"/>
            </w:pPr>
            <w:r>
              <w:rPr>
                <w:rFonts w:ascii="宋体" w:hAnsi="宋体" w:eastAsia="宋体"/>
                <w:sz w:val="16"/>
              </w:rPr>
              <w:t>新增规上企业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8A405">
            <w:pPr>
              <w:jc w:val="center"/>
            </w:pPr>
            <w:r>
              <w:rPr>
                <w:rFonts w:ascii="宋体" w:hAnsi="宋体" w:eastAsia="宋体"/>
                <w:sz w:val="16"/>
              </w:rPr>
              <w:t>&gt;=5家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9B01D">
            <w:pPr>
              <w:jc w:val="center"/>
            </w:pPr>
            <w:r>
              <w:rPr>
                <w:rFonts w:ascii="宋体" w:hAnsi="宋体" w:eastAsia="宋体"/>
                <w:sz w:val="16"/>
              </w:rPr>
              <w:t>城北加工产业发展服务中心2024年工作计划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3318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58862">
            <w:pPr>
              <w:jc w:val="center"/>
            </w:pPr>
            <w:r>
              <w:rPr>
                <w:rFonts w:ascii="宋体" w:hAnsi="宋体" w:eastAsia="宋体"/>
                <w:sz w:val="16"/>
              </w:rPr>
              <w:t>14家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50FCA">
            <w:pPr>
              <w:jc w:val="center"/>
            </w:pPr>
            <w:r>
              <w:rPr>
                <w:rFonts w:ascii="宋体" w:hAnsi="宋体" w:eastAsia="宋体"/>
                <w:sz w:val="16"/>
              </w:rPr>
              <w:t>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72C9A">
            <w:pPr>
              <w:jc w:val="center"/>
            </w:pPr>
            <w:r>
              <w:rPr>
                <w:rFonts w:ascii="宋体" w:hAnsi="宋体" w:eastAsia="宋体"/>
                <w:sz w:val="16"/>
              </w:rPr>
              <w:t>20</w:t>
            </w:r>
          </w:p>
        </w:tc>
      </w:tr>
      <w:tr w14:paraId="5F0034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5956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D761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9A22C">
            <w:pPr>
              <w:jc w:val="center"/>
            </w:pPr>
            <w:r>
              <w:rPr>
                <w:rFonts w:ascii="宋体" w:hAnsi="宋体" w:eastAsia="宋体"/>
                <w:sz w:val="16"/>
              </w:rPr>
              <w:t>计划招商引资到位资金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5EA0C">
            <w:pPr>
              <w:jc w:val="center"/>
            </w:pPr>
            <w:r>
              <w:rPr>
                <w:rFonts w:ascii="宋体" w:hAnsi="宋体" w:eastAsia="宋体"/>
                <w:sz w:val="16"/>
              </w:rPr>
              <w:t>&gt;=8亿元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60BB7">
            <w:pPr>
              <w:jc w:val="center"/>
            </w:pPr>
            <w:r>
              <w:rPr>
                <w:rFonts w:ascii="宋体" w:hAnsi="宋体" w:eastAsia="宋体"/>
                <w:sz w:val="16"/>
              </w:rPr>
              <w:t>城北加工产业发展服务中心2024年工作计划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05E0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AA7D1">
            <w:pPr>
              <w:jc w:val="center"/>
            </w:pPr>
            <w:r>
              <w:rPr>
                <w:rFonts w:ascii="宋体" w:hAnsi="宋体" w:eastAsia="宋体"/>
                <w:sz w:val="16"/>
              </w:rPr>
              <w:t>29.43亿元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5BD90">
            <w:pPr>
              <w:jc w:val="center"/>
            </w:pPr>
            <w:r>
              <w:rPr>
                <w:rFonts w:ascii="宋体" w:hAnsi="宋体" w:eastAsia="宋体"/>
                <w:sz w:val="16"/>
              </w:rPr>
              <w:t>367.88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9A29D">
            <w:pPr>
              <w:jc w:val="center"/>
            </w:pPr>
            <w:r>
              <w:rPr>
                <w:rFonts w:ascii="宋体" w:hAnsi="宋体" w:eastAsia="宋体"/>
                <w:sz w:val="16"/>
              </w:rPr>
              <w:t>15</w:t>
            </w:r>
          </w:p>
        </w:tc>
      </w:tr>
      <w:tr w14:paraId="5217BA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326F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C1AA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B9B59">
            <w:pPr>
              <w:jc w:val="center"/>
            </w:pPr>
            <w:r>
              <w:rPr>
                <w:rFonts w:ascii="宋体" w:hAnsi="宋体" w:eastAsia="宋体"/>
                <w:sz w:val="16"/>
              </w:rPr>
              <w:t>新增市场主体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B315A">
            <w:pPr>
              <w:jc w:val="center"/>
            </w:pPr>
            <w:r>
              <w:rPr>
                <w:rFonts w:ascii="宋体" w:hAnsi="宋体" w:eastAsia="宋体"/>
                <w:sz w:val="16"/>
              </w:rPr>
              <w:t>&gt;=150家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8617D">
            <w:pPr>
              <w:jc w:val="center"/>
            </w:pPr>
            <w:r>
              <w:rPr>
                <w:rFonts w:ascii="宋体" w:hAnsi="宋体" w:eastAsia="宋体"/>
                <w:sz w:val="16"/>
              </w:rPr>
              <w:t>城北加工产业发展服务中心2024年工作计划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6377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CAA3B">
            <w:pPr>
              <w:jc w:val="center"/>
            </w:pPr>
            <w:r>
              <w:rPr>
                <w:rFonts w:ascii="宋体" w:hAnsi="宋体" w:eastAsia="宋体"/>
                <w:sz w:val="16"/>
              </w:rPr>
              <w:t>302家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D77B9">
            <w:pPr>
              <w:jc w:val="center"/>
            </w:pPr>
            <w:r>
              <w:rPr>
                <w:rFonts w:ascii="宋体" w:hAnsi="宋体" w:eastAsia="宋体"/>
                <w:sz w:val="16"/>
              </w:rPr>
              <w:t>200.13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94593">
            <w:pPr>
              <w:jc w:val="center"/>
            </w:pPr>
            <w:r>
              <w:rPr>
                <w:rFonts w:ascii="宋体" w:hAnsi="宋体" w:eastAsia="宋体"/>
                <w:sz w:val="16"/>
              </w:rPr>
              <w:t>20</w:t>
            </w:r>
          </w:p>
        </w:tc>
      </w:tr>
      <w:tr w14:paraId="0B1974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C98B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2469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A6E85">
            <w:pPr>
              <w:jc w:val="center"/>
            </w:pPr>
            <w:r>
              <w:rPr>
                <w:rFonts w:ascii="宋体" w:hAnsi="宋体" w:eastAsia="宋体"/>
                <w:sz w:val="16"/>
              </w:rPr>
              <w:t>实现就业人数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19160">
            <w:pPr>
              <w:jc w:val="center"/>
            </w:pPr>
            <w:r>
              <w:rPr>
                <w:rFonts w:ascii="宋体" w:hAnsi="宋体" w:eastAsia="宋体"/>
                <w:sz w:val="16"/>
              </w:rPr>
              <w:t>&gt;=8000人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B0557">
            <w:pPr>
              <w:jc w:val="center"/>
            </w:pPr>
            <w:r>
              <w:rPr>
                <w:rFonts w:ascii="宋体" w:hAnsi="宋体" w:eastAsia="宋体"/>
                <w:sz w:val="16"/>
              </w:rPr>
              <w:t>城北加工产业发展服务中心2024年工作计划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54F5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881D4">
            <w:pPr>
              <w:jc w:val="center"/>
            </w:pPr>
            <w:r>
              <w:rPr>
                <w:rFonts w:ascii="宋体" w:hAnsi="宋体" w:eastAsia="宋体"/>
                <w:sz w:val="16"/>
              </w:rPr>
              <w:t>10541人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4DB98">
            <w:pPr>
              <w:jc w:val="center"/>
            </w:pPr>
            <w:r>
              <w:rPr>
                <w:rFonts w:ascii="宋体" w:hAnsi="宋体" w:eastAsia="宋体"/>
                <w:sz w:val="16"/>
              </w:rPr>
              <w:t>131.76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FDA0A">
            <w:pPr>
              <w:jc w:val="center"/>
            </w:pPr>
            <w:r>
              <w:rPr>
                <w:rFonts w:ascii="宋体" w:hAnsi="宋体" w:eastAsia="宋体"/>
                <w:sz w:val="16"/>
              </w:rPr>
              <w:t>20</w:t>
            </w:r>
          </w:p>
        </w:tc>
      </w:tr>
      <w:tr w14:paraId="5742F8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E1C1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2ADB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BD7FE">
            <w:pPr>
              <w:jc w:val="center"/>
            </w:pPr>
            <w:r>
              <w:rPr>
                <w:rFonts w:ascii="宋体" w:hAnsi="宋体" w:eastAsia="宋体"/>
                <w:sz w:val="16"/>
              </w:rPr>
              <w:t>计划完成固定资产投资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AADA4">
            <w:pPr>
              <w:jc w:val="center"/>
            </w:pPr>
            <w:r>
              <w:rPr>
                <w:rFonts w:ascii="宋体" w:hAnsi="宋体" w:eastAsia="宋体"/>
                <w:sz w:val="16"/>
              </w:rPr>
              <w:t>&gt;=8亿元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29F14">
            <w:pPr>
              <w:jc w:val="center"/>
            </w:pPr>
            <w:r>
              <w:rPr>
                <w:rFonts w:ascii="宋体" w:hAnsi="宋体" w:eastAsia="宋体"/>
                <w:sz w:val="16"/>
              </w:rPr>
              <w:t>城北加工产业发展服务中心2024年工作计划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AB2A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37822">
            <w:pPr>
              <w:jc w:val="center"/>
            </w:pPr>
            <w:r>
              <w:rPr>
                <w:rFonts w:ascii="宋体" w:hAnsi="宋体" w:eastAsia="宋体"/>
                <w:sz w:val="16"/>
              </w:rPr>
              <w:t>16.2亿元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2ECE8">
            <w:pPr>
              <w:jc w:val="center"/>
            </w:pPr>
            <w:r>
              <w:rPr>
                <w:rFonts w:ascii="宋体" w:hAnsi="宋体" w:eastAsia="宋体"/>
                <w:sz w:val="16"/>
              </w:rPr>
              <w:t>200.25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51692">
            <w:pPr>
              <w:jc w:val="center"/>
            </w:pPr>
            <w:r>
              <w:rPr>
                <w:rFonts w:ascii="宋体" w:hAnsi="宋体" w:eastAsia="宋体"/>
                <w:sz w:val="16"/>
              </w:rPr>
              <w:t>15</w:t>
            </w:r>
          </w:p>
        </w:tc>
      </w:tr>
    </w:tbl>
    <w:p w14:paraId="22034CA8">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856"/>
        <w:gridCol w:w="624"/>
        <w:gridCol w:w="624"/>
        <w:gridCol w:w="627"/>
        <w:gridCol w:w="624"/>
        <w:gridCol w:w="624"/>
        <w:gridCol w:w="696"/>
        <w:gridCol w:w="632"/>
        <w:gridCol w:w="615"/>
        <w:gridCol w:w="632"/>
      </w:tblGrid>
      <w:tr w14:paraId="29876DF5">
        <w:tblPrEx>
          <w:tblCellMar>
            <w:top w:w="0" w:type="dxa"/>
            <w:left w:w="108" w:type="dxa"/>
            <w:bottom w:w="0" w:type="dxa"/>
            <w:right w:w="108" w:type="dxa"/>
          </w:tblCellMar>
        </w:tblPrEx>
        <w:tc>
          <w:tcPr>
            <w:tcW w:w="8848" w:type="dxa"/>
            <w:gridSpan w:val="14"/>
            <w:vAlign w:val="center"/>
          </w:tcPr>
          <w:p w14:paraId="31E6A34F">
            <w:pPr>
              <w:jc w:val="center"/>
            </w:pPr>
            <w:r>
              <w:rPr>
                <w:rFonts w:ascii="宋体" w:hAnsi="宋体" w:eastAsia="宋体"/>
                <w:sz w:val="24"/>
              </w:rPr>
              <w:t>项目支出绩效自评表</w:t>
            </w:r>
          </w:p>
        </w:tc>
      </w:tr>
      <w:tr w14:paraId="7F00C246">
        <w:tblPrEx>
          <w:tblCellMar>
            <w:top w:w="0" w:type="dxa"/>
            <w:left w:w="108" w:type="dxa"/>
            <w:bottom w:w="0" w:type="dxa"/>
            <w:right w:w="108" w:type="dxa"/>
          </w:tblCellMar>
        </w:tblPrEx>
        <w:tc>
          <w:tcPr>
            <w:tcW w:w="8848" w:type="dxa"/>
            <w:gridSpan w:val="14"/>
            <w:vAlign w:val="center"/>
          </w:tcPr>
          <w:p w14:paraId="065F9C5F">
            <w:pPr>
              <w:jc w:val="center"/>
            </w:pPr>
            <w:r>
              <w:rPr>
                <w:rFonts w:ascii="宋体" w:hAnsi="宋体" w:eastAsia="宋体"/>
                <w:sz w:val="24"/>
              </w:rPr>
              <w:t>(2024年度)</w:t>
            </w:r>
          </w:p>
        </w:tc>
      </w:tr>
      <w:tr w14:paraId="36D62E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70A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70E887">
            <w:pPr>
              <w:jc w:val="center"/>
            </w:pPr>
            <w:r>
              <w:rPr>
                <w:rFonts w:ascii="宋体" w:hAnsi="宋体" w:eastAsia="宋体"/>
                <w:sz w:val="16"/>
              </w:rPr>
              <w:t>喀什经济开发区城北加工转化区东区基础设施建设项目</w:t>
            </w:r>
          </w:p>
        </w:tc>
      </w:tr>
      <w:tr w14:paraId="66857F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822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0AC605">
            <w:pPr>
              <w:jc w:val="center"/>
            </w:pPr>
            <w:r>
              <w:rPr>
                <w:rFonts w:ascii="宋体" w:hAnsi="宋体" w:eastAsia="宋体"/>
                <w:sz w:val="16"/>
              </w:rPr>
              <w:t>城北转化加工区管理服务中心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354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438842">
            <w:pPr>
              <w:jc w:val="center"/>
            </w:pPr>
            <w:r>
              <w:rPr>
                <w:rFonts w:ascii="宋体" w:hAnsi="宋体" w:eastAsia="宋体"/>
                <w:sz w:val="16"/>
              </w:rPr>
              <w:t>城北转化加工区管理服务中心</w:t>
            </w:r>
          </w:p>
        </w:tc>
      </w:tr>
      <w:tr w14:paraId="2F740B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A20B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4004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7FA5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34B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AF9F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B0A6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1F6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E8FF4">
            <w:pPr>
              <w:jc w:val="center"/>
            </w:pPr>
            <w:r>
              <w:rPr>
                <w:rFonts w:ascii="宋体" w:hAnsi="宋体" w:eastAsia="宋体"/>
                <w:sz w:val="16"/>
              </w:rPr>
              <w:t>得分</w:t>
            </w:r>
          </w:p>
        </w:tc>
      </w:tr>
      <w:tr w14:paraId="42DA69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465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14C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E2A9C">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B1CDD">
            <w:pPr>
              <w:jc w:val="center"/>
            </w:pPr>
            <w:r>
              <w:rPr>
                <w:rFonts w:ascii="宋体" w:hAnsi="宋体" w:eastAsia="宋体"/>
                <w:sz w:val="16"/>
              </w:rPr>
              <w:t>114.00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A2131">
            <w:pPr>
              <w:jc w:val="center"/>
            </w:pPr>
            <w:r>
              <w:rPr>
                <w:rFonts w:ascii="宋体" w:hAnsi="宋体" w:eastAsia="宋体"/>
                <w:sz w:val="16"/>
              </w:rPr>
              <w:t>102.40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E90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5EA6E">
            <w:pPr>
              <w:jc w:val="center"/>
            </w:pPr>
            <w:r>
              <w:rPr>
                <w:rFonts w:ascii="宋体" w:hAnsi="宋体" w:eastAsia="宋体"/>
                <w:sz w:val="16"/>
              </w:rPr>
              <w:t>89.8%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D37E9">
            <w:pPr>
              <w:jc w:val="center"/>
            </w:pPr>
            <w:r>
              <w:rPr>
                <w:rFonts w:ascii="宋体" w:hAnsi="宋体" w:eastAsia="宋体"/>
                <w:sz w:val="16"/>
              </w:rPr>
              <w:t>7.45分</w:t>
            </w:r>
          </w:p>
        </w:tc>
      </w:tr>
      <w:tr w14:paraId="3ED882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643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52B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9C4E5">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5529A">
            <w:pPr>
              <w:jc w:val="center"/>
            </w:pPr>
            <w:r>
              <w:rPr>
                <w:rFonts w:ascii="宋体" w:hAnsi="宋体" w:eastAsia="宋体"/>
                <w:sz w:val="16"/>
              </w:rPr>
              <w:t>114.00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DF8F9">
            <w:pPr>
              <w:jc w:val="center"/>
            </w:pPr>
            <w:r>
              <w:rPr>
                <w:rFonts w:ascii="宋体" w:hAnsi="宋体" w:eastAsia="宋体"/>
                <w:sz w:val="16"/>
              </w:rPr>
              <w:t>102.40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7EE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7D2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E83A">
            <w:pPr>
              <w:jc w:val="center"/>
            </w:pPr>
            <w:r>
              <w:rPr>
                <w:rFonts w:ascii="宋体" w:hAnsi="宋体" w:eastAsia="宋体"/>
                <w:sz w:val="16"/>
              </w:rPr>
              <w:t>—</w:t>
            </w:r>
          </w:p>
        </w:tc>
      </w:tr>
      <w:tr w14:paraId="64A849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0FB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EC89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AD5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E84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2BB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3AC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048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7982">
            <w:pPr>
              <w:jc w:val="center"/>
            </w:pPr>
            <w:r>
              <w:rPr>
                <w:rFonts w:ascii="宋体" w:hAnsi="宋体" w:eastAsia="宋体"/>
                <w:sz w:val="16"/>
              </w:rPr>
              <w:t>—</w:t>
            </w:r>
          </w:p>
        </w:tc>
      </w:tr>
      <w:tr w14:paraId="27DC8E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8DB2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43A3A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166E37">
            <w:pPr>
              <w:jc w:val="center"/>
            </w:pPr>
            <w:r>
              <w:rPr>
                <w:rFonts w:ascii="宋体" w:hAnsi="宋体" w:eastAsia="宋体"/>
                <w:sz w:val="16"/>
              </w:rPr>
              <w:t>实际完成情况</w:t>
            </w:r>
          </w:p>
        </w:tc>
      </w:tr>
      <w:tr w14:paraId="615C16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EFE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2C21FB">
            <w:pPr>
              <w:jc w:val="both"/>
            </w:pPr>
            <w:r>
              <w:rPr>
                <w:rFonts w:ascii="宋体" w:hAnsi="宋体" w:eastAsia="宋体"/>
                <w:sz w:val="16"/>
              </w:rPr>
              <w:t>该项目预算金额114万元，主要用于保障喀什经济开发区城北加工转化区东区基础设施建设项目，总投资26400万元，2024年本级财政资金投资114万元，主要用于新建3条路项目前期费用。项目实施有利于推进城北片区基础设施配套，改善城北环境条件，营造良好的发展环境，提升对外宣传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AF844F">
            <w:pPr>
              <w:jc w:val="both"/>
            </w:pPr>
            <w:r>
              <w:rPr>
                <w:rFonts w:hint="eastAsia" w:ascii="宋体" w:hAnsi="宋体"/>
                <w:sz w:val="16"/>
                <w:lang w:eastAsia="zh-CN"/>
              </w:rPr>
              <w:t>截至2024</w:t>
            </w:r>
            <w:r>
              <w:rPr>
                <w:rFonts w:ascii="宋体" w:hAnsi="宋体" w:eastAsia="宋体"/>
                <w:sz w:val="16"/>
              </w:rPr>
              <w:t>年12月31日，项目预算数114万元，全年执行数102.4，执行率89.8%，主要用于新建3条路项目前期费用，新建合运路778米，新建联创路783.50米，新建捷运东路819米，各项质量保证体系及管理制度齐全性100%，各分部分项工程质量验收合格率100%，支付项目前期费102.4万元，加快打造了一流园区，加强了片区公共配套服务设施建设，项目受益人员满意度达到了100%。</w:t>
            </w:r>
          </w:p>
        </w:tc>
      </w:tr>
      <w:tr w14:paraId="5BB8B5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AD6F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9C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06D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604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0FC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1B8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950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802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ED3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5EB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FE64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B05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DED42">
            <w:pPr>
              <w:jc w:val="center"/>
            </w:pPr>
            <w:r>
              <w:rPr>
                <w:rFonts w:ascii="宋体" w:hAnsi="宋体" w:eastAsia="宋体"/>
                <w:sz w:val="16"/>
              </w:rPr>
              <w:t>偏差原因分析及改进措施</w:t>
            </w:r>
          </w:p>
        </w:tc>
      </w:tr>
      <w:tr w14:paraId="5BC786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139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38CC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4569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AD065">
            <w:pPr>
              <w:jc w:val="center"/>
            </w:pPr>
            <w:r>
              <w:rPr>
                <w:rFonts w:ascii="宋体" w:hAnsi="宋体" w:eastAsia="宋体"/>
                <w:sz w:val="16"/>
              </w:rPr>
              <w:t>新建道路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62A5">
            <w:pPr>
              <w:jc w:val="center"/>
            </w:pPr>
            <w:r>
              <w:rPr>
                <w:rFonts w:ascii="宋体" w:hAnsi="宋体" w:eastAsia="宋体"/>
                <w:sz w:val="16"/>
              </w:rPr>
              <w:t>&gt;=3条路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A8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22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7B2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C33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2FA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8FB5">
            <w:pPr>
              <w:jc w:val="center"/>
            </w:pPr>
            <w:r>
              <w:rPr>
                <w:rFonts w:ascii="宋体" w:hAnsi="宋体" w:eastAsia="宋体"/>
                <w:sz w:val="16"/>
              </w:rPr>
              <w:t>=3条路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3C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8A392">
            <w:pPr>
              <w:jc w:val="center"/>
            </w:pPr>
          </w:p>
        </w:tc>
      </w:tr>
      <w:tr w14:paraId="236A3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50A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63F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F00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A473">
            <w:pPr>
              <w:jc w:val="center"/>
            </w:pPr>
            <w:r>
              <w:rPr>
                <w:rFonts w:ascii="宋体" w:hAnsi="宋体" w:eastAsia="宋体"/>
                <w:sz w:val="16"/>
              </w:rPr>
              <w:t>新建合运路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0957D">
            <w:pPr>
              <w:jc w:val="center"/>
            </w:pPr>
            <w:r>
              <w:rPr>
                <w:rFonts w:ascii="宋体" w:hAnsi="宋体" w:eastAsia="宋体"/>
                <w:sz w:val="16"/>
              </w:rPr>
              <w:t>&gt;=778米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969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EAB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4F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A8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152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ADC20">
            <w:pPr>
              <w:jc w:val="center"/>
            </w:pPr>
            <w:r>
              <w:rPr>
                <w:rFonts w:ascii="宋体" w:hAnsi="宋体" w:eastAsia="宋体"/>
                <w:sz w:val="16"/>
              </w:rPr>
              <w:t>=778米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5D3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DC028">
            <w:pPr>
              <w:jc w:val="center"/>
            </w:pPr>
          </w:p>
        </w:tc>
      </w:tr>
      <w:tr w14:paraId="690137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6DF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AF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670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31CA">
            <w:pPr>
              <w:jc w:val="center"/>
            </w:pPr>
            <w:r>
              <w:rPr>
                <w:rFonts w:ascii="宋体" w:hAnsi="宋体" w:eastAsia="宋体"/>
                <w:sz w:val="16"/>
              </w:rPr>
              <w:t>新建联创路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9E2BE">
            <w:pPr>
              <w:jc w:val="center"/>
            </w:pPr>
            <w:r>
              <w:rPr>
                <w:rFonts w:ascii="宋体" w:hAnsi="宋体" w:eastAsia="宋体"/>
                <w:sz w:val="16"/>
              </w:rPr>
              <w:t>&gt;=783.50米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C9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5D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D3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43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79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507AB">
            <w:pPr>
              <w:jc w:val="center"/>
            </w:pPr>
            <w:r>
              <w:rPr>
                <w:rFonts w:ascii="宋体" w:hAnsi="宋体" w:eastAsia="宋体"/>
                <w:sz w:val="16"/>
              </w:rPr>
              <w:t>=783.5米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7C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793B5">
            <w:pPr>
              <w:jc w:val="center"/>
            </w:pPr>
          </w:p>
        </w:tc>
      </w:tr>
      <w:tr w14:paraId="66202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83A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709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A68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0F10">
            <w:pPr>
              <w:jc w:val="center"/>
            </w:pPr>
            <w:r>
              <w:rPr>
                <w:rFonts w:ascii="宋体" w:hAnsi="宋体" w:eastAsia="宋体"/>
                <w:sz w:val="16"/>
              </w:rPr>
              <w:t>新建捷运东路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BE1EF">
            <w:pPr>
              <w:jc w:val="center"/>
            </w:pPr>
            <w:r>
              <w:rPr>
                <w:rFonts w:ascii="宋体" w:hAnsi="宋体" w:eastAsia="宋体"/>
                <w:sz w:val="16"/>
              </w:rPr>
              <w:t>&gt;=819米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DD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2B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54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C2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5F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BF1E">
            <w:pPr>
              <w:jc w:val="center"/>
            </w:pPr>
            <w:r>
              <w:rPr>
                <w:rFonts w:ascii="宋体" w:hAnsi="宋体" w:eastAsia="宋体"/>
                <w:sz w:val="16"/>
              </w:rPr>
              <w:t>=819米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AED0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0A4D8">
            <w:pPr>
              <w:jc w:val="center"/>
            </w:pPr>
          </w:p>
        </w:tc>
      </w:tr>
      <w:tr w14:paraId="3728F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4BA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A2D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96D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E01C9">
            <w:pPr>
              <w:jc w:val="center"/>
            </w:pPr>
            <w:r>
              <w:rPr>
                <w:rFonts w:ascii="宋体" w:hAnsi="宋体" w:eastAsia="宋体"/>
                <w:sz w:val="16"/>
              </w:rPr>
              <w:t>各项质量保证体系及管理制度齐全性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B17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505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BB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F0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00D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E8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6C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6676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C9637">
            <w:pPr>
              <w:jc w:val="center"/>
            </w:pPr>
          </w:p>
        </w:tc>
      </w:tr>
      <w:tr w14:paraId="638361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724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8A2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4CC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3F43C">
            <w:pPr>
              <w:jc w:val="center"/>
            </w:pPr>
            <w:r>
              <w:rPr>
                <w:rFonts w:ascii="宋体" w:hAnsi="宋体" w:eastAsia="宋体"/>
                <w:sz w:val="16"/>
              </w:rPr>
              <w:t>各分部分项工程质量验收合格率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08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C2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C9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7F2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B8E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D23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1E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E2E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18B57">
            <w:pPr>
              <w:jc w:val="center"/>
            </w:pPr>
          </w:p>
        </w:tc>
      </w:tr>
      <w:tr w14:paraId="30F6E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044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A65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001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0738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164B9">
            <w:pPr>
              <w:jc w:val="center"/>
            </w:pPr>
            <w:r>
              <w:rPr>
                <w:rFonts w:ascii="宋体" w:hAnsi="宋体" w:eastAsia="宋体"/>
                <w:sz w:val="16"/>
              </w:rPr>
              <w:t>=2024年12月16日前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E5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7B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94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B2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FBB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19848">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E2D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0EA84">
            <w:pPr>
              <w:jc w:val="center"/>
            </w:pPr>
          </w:p>
        </w:tc>
      </w:tr>
      <w:tr w14:paraId="338B10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577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8D6B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3ED2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A9AA1">
            <w:pPr>
              <w:jc w:val="center"/>
            </w:pPr>
            <w:r>
              <w:rPr>
                <w:rFonts w:ascii="宋体" w:hAnsi="宋体" w:eastAsia="宋体"/>
                <w:sz w:val="16"/>
              </w:rPr>
              <w:t>项目前期费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F3E1">
            <w:pPr>
              <w:jc w:val="center"/>
            </w:pPr>
            <w:r>
              <w:rPr>
                <w:rFonts w:ascii="宋体" w:hAnsi="宋体" w:eastAsia="宋体"/>
                <w:sz w:val="16"/>
              </w:rPr>
              <w:t>&lt;=114万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0DB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07A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55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E1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958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ABE3">
            <w:pPr>
              <w:jc w:val="center"/>
            </w:pPr>
            <w:r>
              <w:rPr>
                <w:rFonts w:ascii="宋体" w:hAnsi="宋体" w:eastAsia="宋体"/>
                <w:sz w:val="16"/>
              </w:rPr>
              <w:t>=102.4万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F4E3E">
            <w:pPr>
              <w:jc w:val="center"/>
            </w:pPr>
            <w:r>
              <w:rPr>
                <w:rFonts w:ascii="宋体" w:hAnsi="宋体" w:eastAsia="宋体"/>
                <w:sz w:val="16"/>
              </w:rPr>
              <w:t>7.45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84B56">
            <w:pPr>
              <w:jc w:val="center"/>
            </w:pPr>
            <w:r>
              <w:rPr>
                <w:rFonts w:ascii="宋体" w:hAnsi="宋体" w:eastAsia="宋体"/>
                <w:sz w:val="16"/>
              </w:rPr>
              <w:t>项目初期，项目前期费所需资金测算存在偏差，导致预期值设置偏高。改进措施：深入分析，更好地把握和预测项目前期费的实际资金支出情况的变化，避免出现偏差。</w:t>
            </w:r>
          </w:p>
        </w:tc>
      </w:tr>
      <w:tr w14:paraId="5C3DC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C08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D6F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D05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CC338">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4BF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3F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DC4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94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7E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A16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7D57">
            <w:pPr>
              <w:jc w:val="center"/>
            </w:pPr>
            <w:r>
              <w:rPr>
                <w:rFonts w:ascii="宋体" w:hAnsi="宋体" w:eastAsia="宋体"/>
                <w:sz w:val="16"/>
              </w:rPr>
              <w:t>=89.8%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E5D9">
            <w:pPr>
              <w:jc w:val="center"/>
            </w:pPr>
            <w:r>
              <w:rPr>
                <w:rFonts w:ascii="宋体" w:hAnsi="宋体" w:eastAsia="宋体"/>
                <w:sz w:val="16"/>
              </w:rPr>
              <w:t>7.45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C3F8E">
            <w:pPr>
              <w:jc w:val="center"/>
            </w:pPr>
            <w:r>
              <w:rPr>
                <w:rFonts w:ascii="宋体" w:hAnsi="宋体" w:eastAsia="宋体"/>
                <w:sz w:val="16"/>
              </w:rPr>
              <w:t>项目初期，项目前期费所需资金预算测算存在偏差，导致预期值设置偏高。改进措施：深入分析，更好地把握和预测项目所需预算的实际支出情况的变化，避免出现偏差。</w:t>
            </w:r>
          </w:p>
        </w:tc>
      </w:tr>
      <w:tr w14:paraId="1F07AF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26B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D75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DD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E50D">
            <w:pPr>
              <w:jc w:val="center"/>
            </w:pPr>
            <w:r>
              <w:rPr>
                <w:rFonts w:ascii="宋体" w:hAnsi="宋体" w:eastAsia="宋体"/>
                <w:sz w:val="16"/>
              </w:rPr>
              <w:t>加快打造一流园区，加强片区公共配套服务设施建设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94CF4">
            <w:pPr>
              <w:jc w:val="center"/>
            </w:pPr>
            <w:r>
              <w:rPr>
                <w:rFonts w:ascii="宋体" w:hAnsi="宋体" w:eastAsia="宋体"/>
                <w:sz w:val="16"/>
              </w:rPr>
              <w:t>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FE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7BF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25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8A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B0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C0CD4">
            <w:pPr>
              <w:jc w:val="center"/>
            </w:pPr>
            <w:r>
              <w:rPr>
                <w:rFonts w:ascii="宋体" w:hAnsi="宋体" w:eastAsia="宋体"/>
                <w:sz w:val="16"/>
              </w:rPr>
              <w:t>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D09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D66A0">
            <w:pPr>
              <w:jc w:val="center"/>
            </w:pPr>
          </w:p>
        </w:tc>
      </w:tr>
      <w:tr w14:paraId="0D061C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B0B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19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03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1D824">
            <w:pPr>
              <w:jc w:val="center"/>
            </w:pPr>
            <w:r>
              <w:rPr>
                <w:rFonts w:ascii="宋体" w:hAnsi="宋体" w:eastAsia="宋体"/>
                <w:sz w:val="16"/>
              </w:rPr>
              <w:t>项目受益人员满意度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E5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87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F4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15A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3A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8C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E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21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2FFF9">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78B4FDF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59D45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848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DD8F8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A355C">
            <w:pPr>
              <w:jc w:val="center"/>
            </w:pPr>
            <w:r>
              <w:rPr>
                <w:rFonts w:ascii="宋体" w:hAnsi="宋体" w:eastAsia="宋体"/>
                <w:sz w:val="16"/>
              </w:rPr>
              <w:t>92.35分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09745C5"/>
        </w:tc>
      </w:tr>
    </w:tbl>
    <w:p w14:paraId="760D54D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53745A0">
        <w:tblPrEx>
          <w:tblCellMar>
            <w:top w:w="0" w:type="dxa"/>
            <w:left w:w="108" w:type="dxa"/>
            <w:bottom w:w="0" w:type="dxa"/>
            <w:right w:w="108" w:type="dxa"/>
          </w:tblCellMar>
        </w:tblPrEx>
        <w:tc>
          <w:tcPr>
            <w:tcW w:w="8848" w:type="dxa"/>
            <w:gridSpan w:val="14"/>
            <w:vAlign w:val="center"/>
          </w:tcPr>
          <w:p w14:paraId="6B324296">
            <w:pPr>
              <w:jc w:val="center"/>
            </w:pPr>
            <w:r>
              <w:rPr>
                <w:rFonts w:ascii="宋体" w:hAnsi="宋体" w:eastAsia="宋体"/>
                <w:sz w:val="24"/>
              </w:rPr>
              <w:t>项目支出绩效自评表</w:t>
            </w:r>
          </w:p>
        </w:tc>
      </w:tr>
      <w:tr w14:paraId="04B35641">
        <w:tblPrEx>
          <w:tblCellMar>
            <w:top w:w="0" w:type="dxa"/>
            <w:left w:w="108" w:type="dxa"/>
            <w:bottom w:w="0" w:type="dxa"/>
            <w:right w:w="108" w:type="dxa"/>
          </w:tblCellMar>
        </w:tblPrEx>
        <w:tc>
          <w:tcPr>
            <w:tcW w:w="8848" w:type="dxa"/>
            <w:gridSpan w:val="14"/>
            <w:vAlign w:val="center"/>
          </w:tcPr>
          <w:p w14:paraId="61A8078F">
            <w:pPr>
              <w:jc w:val="center"/>
            </w:pPr>
            <w:r>
              <w:rPr>
                <w:rFonts w:ascii="宋体" w:hAnsi="宋体" w:eastAsia="宋体"/>
                <w:sz w:val="24"/>
              </w:rPr>
              <w:t>(2024年度)</w:t>
            </w:r>
          </w:p>
        </w:tc>
      </w:tr>
      <w:tr w14:paraId="0F4E47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5DCC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CBBD37">
            <w:pPr>
              <w:jc w:val="center"/>
            </w:pPr>
            <w:r>
              <w:rPr>
                <w:rFonts w:ascii="宋体" w:hAnsi="宋体" w:eastAsia="宋体"/>
                <w:sz w:val="16"/>
              </w:rPr>
              <w:t>城北社区运行保障项目</w:t>
            </w:r>
          </w:p>
        </w:tc>
      </w:tr>
      <w:tr w14:paraId="700A39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0F3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C57913">
            <w:pPr>
              <w:jc w:val="center"/>
            </w:pPr>
            <w:r>
              <w:rPr>
                <w:rFonts w:ascii="宋体" w:hAnsi="宋体" w:eastAsia="宋体"/>
                <w:sz w:val="16"/>
              </w:rPr>
              <w:t>城北转化加工区管理服务中心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FAA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CE9A3B">
            <w:pPr>
              <w:jc w:val="center"/>
            </w:pPr>
            <w:r>
              <w:rPr>
                <w:rFonts w:ascii="宋体" w:hAnsi="宋体" w:eastAsia="宋体"/>
                <w:sz w:val="16"/>
              </w:rPr>
              <w:t>城北转化加工区管理服务中心</w:t>
            </w:r>
          </w:p>
        </w:tc>
      </w:tr>
      <w:tr w14:paraId="1C2E16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F27D1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943C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8EB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DFF7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0CDE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6211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DF1F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583FC">
            <w:pPr>
              <w:jc w:val="center"/>
            </w:pPr>
            <w:r>
              <w:rPr>
                <w:rFonts w:ascii="宋体" w:hAnsi="宋体" w:eastAsia="宋体"/>
                <w:sz w:val="16"/>
              </w:rPr>
              <w:t>得分</w:t>
            </w:r>
          </w:p>
        </w:tc>
      </w:tr>
      <w:tr w14:paraId="4BD018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9E9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93E4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7A72D">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EBD74">
            <w:pPr>
              <w:jc w:val="center"/>
            </w:pPr>
            <w:r>
              <w:rPr>
                <w:rFonts w:ascii="宋体" w:hAnsi="宋体" w:eastAsia="宋体"/>
                <w:sz w:val="16"/>
              </w:rPr>
              <w:t>19.20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CF8EA">
            <w:pPr>
              <w:jc w:val="center"/>
            </w:pPr>
            <w:r>
              <w:rPr>
                <w:rFonts w:ascii="宋体" w:hAnsi="宋体" w:eastAsia="宋体"/>
                <w:sz w:val="16"/>
              </w:rPr>
              <w:t>15.11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E1A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74B8A">
            <w:pPr>
              <w:jc w:val="center"/>
            </w:pPr>
            <w:r>
              <w:rPr>
                <w:rFonts w:ascii="宋体" w:hAnsi="宋体" w:eastAsia="宋体"/>
                <w:sz w:val="16"/>
              </w:rPr>
              <w:t>78.7%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6F45">
            <w:pPr>
              <w:jc w:val="center"/>
            </w:pPr>
            <w:r>
              <w:rPr>
                <w:rFonts w:ascii="宋体" w:hAnsi="宋体" w:eastAsia="宋体"/>
                <w:sz w:val="16"/>
              </w:rPr>
              <w:t>4.68分</w:t>
            </w:r>
          </w:p>
        </w:tc>
      </w:tr>
      <w:tr w14:paraId="3F076B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702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2EC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5A14B">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0DC39">
            <w:pPr>
              <w:jc w:val="center"/>
            </w:pPr>
            <w:r>
              <w:rPr>
                <w:rFonts w:ascii="宋体" w:hAnsi="宋体" w:eastAsia="宋体"/>
                <w:sz w:val="16"/>
              </w:rPr>
              <w:t>19.20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7C8F9">
            <w:pPr>
              <w:jc w:val="center"/>
            </w:pPr>
            <w:r>
              <w:rPr>
                <w:rFonts w:ascii="宋体" w:hAnsi="宋体" w:eastAsia="宋体"/>
                <w:sz w:val="16"/>
              </w:rPr>
              <w:t>15.11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C30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BD3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C47D">
            <w:pPr>
              <w:jc w:val="center"/>
            </w:pPr>
            <w:r>
              <w:rPr>
                <w:rFonts w:ascii="宋体" w:hAnsi="宋体" w:eastAsia="宋体"/>
                <w:sz w:val="16"/>
              </w:rPr>
              <w:t>—</w:t>
            </w:r>
          </w:p>
        </w:tc>
      </w:tr>
      <w:tr w14:paraId="0D4901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981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96EE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039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C3C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6A8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49C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599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0160">
            <w:pPr>
              <w:jc w:val="center"/>
            </w:pPr>
            <w:r>
              <w:rPr>
                <w:rFonts w:ascii="宋体" w:hAnsi="宋体" w:eastAsia="宋体"/>
                <w:sz w:val="16"/>
              </w:rPr>
              <w:t>—</w:t>
            </w:r>
          </w:p>
        </w:tc>
      </w:tr>
      <w:tr w14:paraId="2F308E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2397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327C2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1CA6CA">
            <w:pPr>
              <w:jc w:val="center"/>
            </w:pPr>
            <w:r>
              <w:rPr>
                <w:rFonts w:ascii="宋体" w:hAnsi="宋体" w:eastAsia="宋体"/>
                <w:sz w:val="16"/>
              </w:rPr>
              <w:t>实际完成情况</w:t>
            </w:r>
          </w:p>
        </w:tc>
      </w:tr>
      <w:tr w14:paraId="0C492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1A1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F9460F">
            <w:pPr>
              <w:jc w:val="both"/>
            </w:pPr>
            <w:r>
              <w:rPr>
                <w:rFonts w:ascii="宋体" w:hAnsi="宋体" w:eastAsia="宋体"/>
                <w:sz w:val="16"/>
              </w:rPr>
              <w:t>本项目预算19.2</w:t>
            </w:r>
            <w:r>
              <w:rPr>
                <w:rFonts w:hint="eastAsia" w:ascii="宋体" w:hAnsi="宋体"/>
                <w:sz w:val="16"/>
                <w:lang w:eastAsia="zh-CN"/>
              </w:rPr>
              <w:t>万元</w:t>
            </w:r>
            <w:r>
              <w:rPr>
                <w:rFonts w:ascii="宋体" w:hAnsi="宋体" w:eastAsia="宋体"/>
                <w:sz w:val="16"/>
              </w:rPr>
              <w:t>，主要用于</w:t>
            </w:r>
            <w:r>
              <w:rPr>
                <w:rFonts w:hint="eastAsia" w:ascii="宋体" w:hAnsi="宋体"/>
                <w:sz w:val="16"/>
                <w:lang w:eastAsia="zh-CN"/>
              </w:rPr>
              <w:t>保障</w:t>
            </w:r>
            <w:r>
              <w:rPr>
                <w:rFonts w:ascii="宋体" w:hAnsi="宋体" w:eastAsia="宋体"/>
                <w:sz w:val="16"/>
              </w:rPr>
              <w:t>城北社区、恰河社区2个社区经费和办公设施设备采购。主要用于保障城北社区、恰河社区2个社区运行经费和办公设施设备采购。1、采购办公用品；2、党建活动；3、横幅宣传广告等；4、2个社区12人餐补；5、采购办公设备：三人沙发、大茶几；6、宽带费用；7、办公室租赁费用。完善城北转化加工区功能配套，提升社区业务保障能力和对外宣传能力，提高城北转化加工区公共服务能力和服务质量，加强对区域内人流、物流、信息流等有序优化配置，及时掌握各类信息</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6FF53E">
            <w:pPr>
              <w:jc w:val="both"/>
            </w:pPr>
            <w:r>
              <w:rPr>
                <w:rFonts w:hint="eastAsia" w:ascii="宋体" w:hAnsi="宋体"/>
                <w:sz w:val="16"/>
                <w:lang w:eastAsia="zh-CN"/>
              </w:rPr>
              <w:t>截至2024</w:t>
            </w:r>
            <w:r>
              <w:rPr>
                <w:rFonts w:ascii="宋体" w:hAnsi="宋体" w:eastAsia="宋体"/>
                <w:sz w:val="16"/>
              </w:rPr>
              <w:t>年12月31日，项目预算数19.2万元，全年执行数15.11，执行率78.7%，保障城北社区、恰河社区2个社区运行经费和办公设施设备采购，政府采购质量合格率100%，支付社区办公设备及办公用品费用3.68万元、其他保障费用3.43万元、党建活动及横幅宣传广告费用5.2万元、办公室租赁费2.71万元，提升了社区业务保障能力和对外宣传能力，社区人员满意度达到了100%。</w:t>
            </w:r>
          </w:p>
        </w:tc>
      </w:tr>
      <w:tr w14:paraId="50CDDC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4DED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F69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28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BD33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D89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56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7FE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CB6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C10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787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BD99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5C27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3F7C1">
            <w:pPr>
              <w:jc w:val="center"/>
            </w:pPr>
            <w:r>
              <w:rPr>
                <w:rFonts w:ascii="宋体" w:hAnsi="宋体" w:eastAsia="宋体"/>
                <w:sz w:val="16"/>
              </w:rPr>
              <w:t>偏差原因分析及改进措施</w:t>
            </w:r>
          </w:p>
        </w:tc>
      </w:tr>
      <w:tr w14:paraId="18E032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3CC1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4CCD2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D1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7233">
            <w:pPr>
              <w:jc w:val="center"/>
            </w:pPr>
            <w:r>
              <w:rPr>
                <w:rFonts w:ascii="宋体" w:hAnsi="宋体" w:eastAsia="宋体"/>
                <w:sz w:val="16"/>
              </w:rPr>
              <w:t>保障社区数量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546C">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20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C6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71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810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8F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B4C5B">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83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2E6C4">
            <w:pPr>
              <w:jc w:val="center"/>
            </w:pPr>
          </w:p>
        </w:tc>
      </w:tr>
      <w:tr w14:paraId="4B168F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E90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BA6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62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1B020">
            <w:pPr>
              <w:jc w:val="center"/>
            </w:pPr>
            <w:r>
              <w:rPr>
                <w:rFonts w:ascii="宋体" w:hAnsi="宋体" w:eastAsia="宋体"/>
                <w:sz w:val="16"/>
              </w:rPr>
              <w:t>政府采购质量合格率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22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43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CE4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238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C989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BBB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85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D9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E740B">
            <w:pPr>
              <w:jc w:val="center"/>
            </w:pPr>
          </w:p>
        </w:tc>
      </w:tr>
      <w:tr w14:paraId="5AAA19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E03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039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8F8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1B58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02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256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1F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C61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2FC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2F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2B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C9C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1D4E8">
            <w:pPr>
              <w:jc w:val="center"/>
            </w:pPr>
          </w:p>
        </w:tc>
      </w:tr>
      <w:tr w14:paraId="3E8A06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AD7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F13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7F6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AA70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13BE">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10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16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F4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B5E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85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46B7">
            <w:pPr>
              <w:jc w:val="center"/>
            </w:pPr>
            <w:r>
              <w:rPr>
                <w:rFonts w:ascii="宋体" w:hAnsi="宋体" w:eastAsia="宋体"/>
                <w:sz w:val="16"/>
              </w:rPr>
              <w:t>=2024年12月14日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BF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F06E2">
            <w:pPr>
              <w:jc w:val="center"/>
            </w:pPr>
          </w:p>
        </w:tc>
      </w:tr>
      <w:tr w14:paraId="048E8A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1F8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5F46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0E4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3808F">
            <w:pPr>
              <w:jc w:val="center"/>
            </w:pPr>
            <w:r>
              <w:rPr>
                <w:rFonts w:ascii="宋体" w:hAnsi="宋体" w:eastAsia="宋体"/>
                <w:sz w:val="16"/>
              </w:rPr>
              <w:t>社区办公设备及办公用品费用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E604">
            <w:pPr>
              <w:jc w:val="center"/>
            </w:pPr>
            <w:r>
              <w:rPr>
                <w:rFonts w:ascii="宋体" w:hAnsi="宋体" w:eastAsia="宋体"/>
                <w:sz w:val="16"/>
              </w:rPr>
              <w:t>&lt;=5.68万元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9A5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B5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7A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EE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C1E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C93D">
            <w:pPr>
              <w:jc w:val="center"/>
            </w:pPr>
            <w:r>
              <w:rPr>
                <w:rFonts w:ascii="宋体" w:hAnsi="宋体" w:eastAsia="宋体"/>
                <w:sz w:val="16"/>
              </w:rPr>
              <w:t>=3.68万元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1E691">
            <w:pPr>
              <w:jc w:val="center"/>
            </w:pPr>
            <w:r>
              <w:rPr>
                <w:rFonts w:ascii="宋体" w:hAnsi="宋体" w:eastAsia="宋体"/>
                <w:sz w:val="16"/>
              </w:rPr>
              <w:t>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04C66">
            <w:pPr>
              <w:jc w:val="center"/>
            </w:pPr>
            <w:r>
              <w:rPr>
                <w:rFonts w:ascii="宋体" w:hAnsi="宋体" w:eastAsia="宋体"/>
                <w:sz w:val="16"/>
              </w:rPr>
              <w:t>项目初期，社区办公设备及办公用品费用资金测算存在偏差，导致预期值设置偏高。改进措施：深入分析，更好地把握和预测社区办公设备及办公用品费用的实际所需资金的变化，避免出现偏差。</w:t>
            </w:r>
          </w:p>
        </w:tc>
      </w:tr>
      <w:tr w14:paraId="16734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854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E8F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BA1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DCB0">
            <w:pPr>
              <w:jc w:val="center"/>
            </w:pPr>
            <w:r>
              <w:rPr>
                <w:rFonts w:ascii="宋体" w:hAnsi="宋体" w:eastAsia="宋体"/>
                <w:sz w:val="16"/>
              </w:rPr>
              <w:t>其他保障费用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4EFF">
            <w:pPr>
              <w:jc w:val="center"/>
            </w:pPr>
            <w:r>
              <w:rPr>
                <w:rFonts w:ascii="宋体" w:hAnsi="宋体" w:eastAsia="宋体"/>
                <w:sz w:val="16"/>
              </w:rPr>
              <w:t>&lt;=5.52万元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91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28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3D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FB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1F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5BCC">
            <w:pPr>
              <w:jc w:val="center"/>
            </w:pPr>
            <w:r>
              <w:rPr>
                <w:rFonts w:ascii="宋体" w:hAnsi="宋体" w:eastAsia="宋体"/>
                <w:sz w:val="16"/>
              </w:rPr>
              <w:t>=3.43万元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3765D">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A7BB5">
            <w:pPr>
              <w:jc w:val="center"/>
            </w:pPr>
            <w:r>
              <w:rPr>
                <w:rFonts w:ascii="宋体" w:hAnsi="宋体" w:eastAsia="宋体"/>
                <w:sz w:val="16"/>
              </w:rPr>
              <w:t>项目初期，其他保障费用资金测算存在偏差，导致预期值设置偏高。改进措施：深入分析，更好地把握和预测其他保障费用的实际支出资金的变化，避免出现偏差。</w:t>
            </w:r>
          </w:p>
        </w:tc>
      </w:tr>
      <w:tr w14:paraId="3F0EA5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7E1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856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FEA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75D2">
            <w:pPr>
              <w:jc w:val="center"/>
            </w:pPr>
            <w:r>
              <w:rPr>
                <w:rFonts w:ascii="宋体" w:hAnsi="宋体" w:eastAsia="宋体"/>
                <w:sz w:val="16"/>
              </w:rPr>
              <w:t>党建活动及横幅宣传广告费用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FB9C">
            <w:pPr>
              <w:jc w:val="center"/>
            </w:pPr>
            <w:r>
              <w:rPr>
                <w:rFonts w:ascii="宋体" w:hAnsi="宋体" w:eastAsia="宋体"/>
                <w:sz w:val="16"/>
              </w:rPr>
              <w:t>&lt;=5.2万元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25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37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01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89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28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2162">
            <w:pPr>
              <w:jc w:val="center"/>
            </w:pPr>
            <w:r>
              <w:rPr>
                <w:rFonts w:ascii="宋体" w:hAnsi="宋体" w:eastAsia="宋体"/>
                <w:sz w:val="16"/>
              </w:rPr>
              <w:t>=5.2万元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9881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7D2ED">
            <w:pPr>
              <w:jc w:val="center"/>
            </w:pPr>
          </w:p>
        </w:tc>
      </w:tr>
      <w:tr w14:paraId="482F97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AE7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B6F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59D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1E0B">
            <w:pPr>
              <w:jc w:val="center"/>
            </w:pPr>
            <w:r>
              <w:rPr>
                <w:rFonts w:ascii="宋体" w:hAnsi="宋体" w:eastAsia="宋体"/>
                <w:sz w:val="16"/>
              </w:rPr>
              <w:t>办公室租赁费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F831">
            <w:pPr>
              <w:jc w:val="center"/>
            </w:pPr>
            <w:r>
              <w:rPr>
                <w:rFonts w:ascii="宋体" w:hAnsi="宋体" w:eastAsia="宋体"/>
                <w:sz w:val="16"/>
              </w:rPr>
              <w:t>&lt;=2.71万元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91D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BC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D5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9C4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AB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2E50">
            <w:pPr>
              <w:jc w:val="center"/>
            </w:pPr>
            <w:r>
              <w:rPr>
                <w:rFonts w:ascii="宋体" w:hAnsi="宋体" w:eastAsia="宋体"/>
                <w:sz w:val="16"/>
              </w:rPr>
              <w:t>=2.71万元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6D3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7BD84">
            <w:pPr>
              <w:jc w:val="center"/>
            </w:pPr>
          </w:p>
        </w:tc>
      </w:tr>
      <w:tr w14:paraId="0E1EBA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23E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0622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BF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32DC8">
            <w:pPr>
              <w:jc w:val="center"/>
            </w:pPr>
            <w:r>
              <w:rPr>
                <w:rFonts w:ascii="宋体" w:hAnsi="宋体" w:eastAsia="宋体"/>
                <w:sz w:val="16"/>
              </w:rPr>
              <w:t>提升社区业务保障能力和对外宣传能力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08D40">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13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774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513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18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F6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83613">
            <w:pPr>
              <w:jc w:val="center"/>
            </w:pPr>
            <w:r>
              <w:rPr>
                <w:rFonts w:ascii="宋体" w:hAnsi="宋体" w:eastAsia="宋体"/>
                <w:sz w:val="16"/>
              </w:rPr>
              <w:t>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D63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3CC53">
            <w:pPr>
              <w:jc w:val="center"/>
            </w:pPr>
          </w:p>
        </w:tc>
      </w:tr>
      <w:tr w14:paraId="0972E8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6FF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8C2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3C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A0AE">
            <w:pPr>
              <w:jc w:val="center"/>
            </w:pPr>
            <w:r>
              <w:rPr>
                <w:rFonts w:ascii="宋体" w:hAnsi="宋体" w:eastAsia="宋体"/>
                <w:sz w:val="16"/>
              </w:rPr>
              <w:t>社区人员满意度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68A1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5D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73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29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D2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62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81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92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AB5E6">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4422403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C5C91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0C0C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AC50C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49C7">
            <w:pPr>
              <w:jc w:val="center"/>
            </w:pPr>
            <w:r>
              <w:rPr>
                <w:rFonts w:ascii="宋体" w:hAnsi="宋体" w:eastAsia="宋体"/>
                <w:sz w:val="16"/>
              </w:rPr>
              <w:t>85.55分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CD6A364"/>
        </w:tc>
      </w:tr>
    </w:tbl>
    <w:p w14:paraId="597DE4E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47BDDB2D">
        <w:tblPrEx>
          <w:tblCellMar>
            <w:top w:w="0" w:type="dxa"/>
            <w:left w:w="108" w:type="dxa"/>
            <w:bottom w:w="0" w:type="dxa"/>
            <w:right w:w="108" w:type="dxa"/>
          </w:tblCellMar>
        </w:tblPrEx>
        <w:tc>
          <w:tcPr>
            <w:tcW w:w="8848" w:type="dxa"/>
            <w:gridSpan w:val="14"/>
            <w:vAlign w:val="center"/>
          </w:tcPr>
          <w:p w14:paraId="74F7E1E9">
            <w:pPr>
              <w:jc w:val="center"/>
            </w:pPr>
            <w:r>
              <w:rPr>
                <w:rFonts w:ascii="宋体" w:hAnsi="宋体" w:eastAsia="宋体"/>
                <w:sz w:val="24"/>
              </w:rPr>
              <w:t>项目支出绩效自评表</w:t>
            </w:r>
          </w:p>
        </w:tc>
      </w:tr>
      <w:tr w14:paraId="0C550A11">
        <w:tblPrEx>
          <w:tblCellMar>
            <w:top w:w="0" w:type="dxa"/>
            <w:left w:w="108" w:type="dxa"/>
            <w:bottom w:w="0" w:type="dxa"/>
            <w:right w:w="108" w:type="dxa"/>
          </w:tblCellMar>
        </w:tblPrEx>
        <w:tc>
          <w:tcPr>
            <w:tcW w:w="8848" w:type="dxa"/>
            <w:gridSpan w:val="14"/>
            <w:vAlign w:val="center"/>
          </w:tcPr>
          <w:p w14:paraId="1E157BB7">
            <w:pPr>
              <w:jc w:val="center"/>
            </w:pPr>
            <w:r>
              <w:rPr>
                <w:rFonts w:ascii="宋体" w:hAnsi="宋体" w:eastAsia="宋体"/>
                <w:sz w:val="24"/>
              </w:rPr>
              <w:t>(2024年度)</w:t>
            </w:r>
          </w:p>
        </w:tc>
      </w:tr>
      <w:tr w14:paraId="44520C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06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57EC40">
            <w:pPr>
              <w:jc w:val="center"/>
            </w:pPr>
            <w:r>
              <w:rPr>
                <w:rFonts w:ascii="宋体" w:hAnsi="宋体" w:eastAsia="宋体"/>
                <w:sz w:val="16"/>
              </w:rPr>
              <w:t>城北运营保障项目</w:t>
            </w:r>
          </w:p>
        </w:tc>
      </w:tr>
      <w:tr w14:paraId="50580B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B26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BBA6A5">
            <w:pPr>
              <w:jc w:val="center"/>
            </w:pPr>
            <w:r>
              <w:rPr>
                <w:rFonts w:ascii="宋体" w:hAnsi="宋体" w:eastAsia="宋体"/>
                <w:sz w:val="16"/>
              </w:rPr>
              <w:t>城北转化加工区管理服务中心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C73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FD054B">
            <w:pPr>
              <w:jc w:val="center"/>
            </w:pPr>
            <w:r>
              <w:rPr>
                <w:rFonts w:ascii="宋体" w:hAnsi="宋体" w:eastAsia="宋体"/>
                <w:sz w:val="16"/>
              </w:rPr>
              <w:t>城北转化加工区管理服务中心</w:t>
            </w:r>
          </w:p>
        </w:tc>
      </w:tr>
      <w:tr w14:paraId="4CD126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5403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0A40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EC86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801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A63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D333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21D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3A3EB">
            <w:pPr>
              <w:jc w:val="center"/>
            </w:pPr>
            <w:r>
              <w:rPr>
                <w:rFonts w:ascii="宋体" w:hAnsi="宋体" w:eastAsia="宋体"/>
                <w:sz w:val="16"/>
              </w:rPr>
              <w:t>得分</w:t>
            </w:r>
          </w:p>
        </w:tc>
      </w:tr>
      <w:tr w14:paraId="4F82A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218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B12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E63A4">
            <w:pPr>
              <w:jc w:val="center"/>
            </w:pPr>
            <w:r>
              <w:rPr>
                <w:rFonts w:ascii="宋体" w:hAnsi="宋体" w:eastAsia="宋体"/>
                <w:sz w:val="16"/>
              </w:rPr>
              <w:t>322.54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57A9D">
            <w:pPr>
              <w:jc w:val="center"/>
            </w:pPr>
            <w:r>
              <w:rPr>
                <w:rFonts w:ascii="宋体" w:hAnsi="宋体" w:eastAsia="宋体"/>
                <w:sz w:val="16"/>
              </w:rPr>
              <w:t>104.83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E7AB6">
            <w:pPr>
              <w:jc w:val="center"/>
            </w:pPr>
            <w:r>
              <w:rPr>
                <w:rFonts w:ascii="宋体" w:hAnsi="宋体" w:eastAsia="宋体"/>
                <w:sz w:val="16"/>
              </w:rPr>
              <w:t>97.56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D5A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67F9B">
            <w:pPr>
              <w:jc w:val="center"/>
            </w:pPr>
            <w:r>
              <w:rPr>
                <w:rFonts w:ascii="宋体" w:hAnsi="宋体" w:eastAsia="宋体"/>
                <w:sz w:val="16"/>
              </w:rPr>
              <w:t>93.1%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05019">
            <w:pPr>
              <w:jc w:val="center"/>
            </w:pPr>
            <w:r>
              <w:rPr>
                <w:rFonts w:ascii="宋体" w:hAnsi="宋体" w:eastAsia="宋体"/>
                <w:sz w:val="16"/>
              </w:rPr>
              <w:t>8.27分</w:t>
            </w:r>
          </w:p>
        </w:tc>
      </w:tr>
      <w:tr w14:paraId="15CF0B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7FD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6FD6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5CB17">
            <w:pPr>
              <w:jc w:val="center"/>
            </w:pPr>
            <w:r>
              <w:rPr>
                <w:rFonts w:ascii="宋体" w:hAnsi="宋体" w:eastAsia="宋体"/>
                <w:sz w:val="16"/>
              </w:rPr>
              <w:t>322.54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46B6A">
            <w:pPr>
              <w:jc w:val="center"/>
            </w:pPr>
            <w:r>
              <w:rPr>
                <w:rFonts w:ascii="宋体" w:hAnsi="宋体" w:eastAsia="宋体"/>
                <w:sz w:val="16"/>
              </w:rPr>
              <w:t>104.83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CD725">
            <w:pPr>
              <w:jc w:val="center"/>
            </w:pPr>
            <w:r>
              <w:rPr>
                <w:rFonts w:ascii="宋体" w:hAnsi="宋体" w:eastAsia="宋体"/>
                <w:sz w:val="16"/>
              </w:rPr>
              <w:t>97.56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CF5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924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462C">
            <w:pPr>
              <w:jc w:val="center"/>
            </w:pPr>
            <w:r>
              <w:rPr>
                <w:rFonts w:ascii="宋体" w:hAnsi="宋体" w:eastAsia="宋体"/>
                <w:sz w:val="16"/>
              </w:rPr>
              <w:t>—</w:t>
            </w:r>
          </w:p>
        </w:tc>
      </w:tr>
      <w:tr w14:paraId="7FCE06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625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FAE9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510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94B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0DB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E59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F59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A475">
            <w:pPr>
              <w:jc w:val="center"/>
            </w:pPr>
            <w:r>
              <w:rPr>
                <w:rFonts w:ascii="宋体" w:hAnsi="宋体" w:eastAsia="宋体"/>
                <w:sz w:val="16"/>
              </w:rPr>
              <w:t>—</w:t>
            </w:r>
          </w:p>
        </w:tc>
      </w:tr>
      <w:tr w14:paraId="4B58AC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5259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81541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1407C0">
            <w:pPr>
              <w:jc w:val="center"/>
            </w:pPr>
            <w:r>
              <w:rPr>
                <w:rFonts w:ascii="宋体" w:hAnsi="宋体" w:eastAsia="宋体"/>
                <w:sz w:val="16"/>
              </w:rPr>
              <w:t>实际完成情况</w:t>
            </w:r>
          </w:p>
        </w:tc>
      </w:tr>
      <w:tr w14:paraId="2B6FB1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829B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8B1D13">
            <w:pPr>
              <w:jc w:val="both"/>
            </w:pPr>
            <w:r>
              <w:rPr>
                <w:rFonts w:ascii="宋体" w:hAnsi="宋体" w:eastAsia="宋体"/>
                <w:sz w:val="16"/>
              </w:rPr>
              <w:t>本项目预算104.832万，主要用于一、1.节假日、调研、重大投产仪式、重大活动、日常工作安排等制作红旗灯笼宣传牌、展板等（区内提升美化9.84万元；                                                                                                                                                               2.城北片区路灯及城北</w:t>
            </w:r>
            <w:r>
              <w:rPr>
                <w:rFonts w:hint="eastAsia" w:ascii="宋体" w:hAnsi="宋体"/>
                <w:sz w:val="16"/>
                <w:lang w:eastAsia="zh-CN"/>
              </w:rPr>
              <w:t>展厅</w:t>
            </w:r>
            <w:r>
              <w:rPr>
                <w:rFonts w:ascii="宋体" w:hAnsi="宋体" w:eastAsia="宋体"/>
                <w:sz w:val="16"/>
              </w:rPr>
              <w:t>电费35万元；3.驾驶员工资，提升保障能力，12.7万元；4.属给排水、中水管线爆管，跑水、阀门维修更换及泵站设备维修、井盖维修、路沿石修复、路灯维修、标识牌修复等公共设施维修，供水管线维修，场地平整、垃圾清运、环境及道路提升改造、路灯道旗维修及更换、城北片区道路标线施工标识牌内容更换，标识牌内容更换石柱子安装、围挡护栏等46.17万元，办公设备购置1.08万元。提升城北公共服务水平。实施本项目达到保障城北片区安全，提升城北公共服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BD8500">
            <w:pPr>
              <w:jc w:val="both"/>
            </w:pPr>
            <w:r>
              <w:rPr>
                <w:rFonts w:hint="eastAsia" w:ascii="宋体" w:hAnsi="宋体"/>
                <w:sz w:val="16"/>
                <w:lang w:eastAsia="zh-CN"/>
              </w:rPr>
              <w:t>截至2024</w:t>
            </w:r>
            <w:r>
              <w:rPr>
                <w:rFonts w:ascii="宋体" w:hAnsi="宋体" w:eastAsia="宋体"/>
                <w:sz w:val="16"/>
              </w:rPr>
              <w:t>年12月31日，项目预算数104.83万元，全年执行数97.56，执行率93.1%，主要用于政府采购次数4次，项目采购管理合格率100%，支付城北中心展厅用电及路灯用电运行费用35万元、区内氛围营造费用9.84万元、劳务派遣服务费用12.70万元、市政维修费用38.9万元，办公设备购置1.08万元，实施本项目提升了公务用车保障能力情况，区内工作人员满意度达到了100%。</w:t>
            </w:r>
          </w:p>
        </w:tc>
      </w:tr>
      <w:tr w14:paraId="702FF9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6D73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39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81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7F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115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AB0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A2D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460B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C26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D34E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BB19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7AD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F1522">
            <w:pPr>
              <w:jc w:val="center"/>
            </w:pPr>
            <w:r>
              <w:rPr>
                <w:rFonts w:ascii="宋体" w:hAnsi="宋体" w:eastAsia="宋体"/>
                <w:sz w:val="16"/>
              </w:rPr>
              <w:t>偏差原因分析及改进措施</w:t>
            </w:r>
          </w:p>
        </w:tc>
      </w:tr>
      <w:tr w14:paraId="447190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A41E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1587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59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AF80">
            <w:pPr>
              <w:jc w:val="center"/>
            </w:pPr>
            <w:r>
              <w:rPr>
                <w:rFonts w:ascii="宋体" w:hAnsi="宋体" w:eastAsia="宋体"/>
                <w:sz w:val="16"/>
              </w:rPr>
              <w:t>政府采购次数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E5485">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EAE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8C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A1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159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12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95BC1">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6A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5787B">
            <w:pPr>
              <w:jc w:val="center"/>
            </w:pPr>
          </w:p>
        </w:tc>
      </w:tr>
      <w:tr w14:paraId="4D73ED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BBA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FD2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22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2BB68">
            <w:pPr>
              <w:jc w:val="center"/>
            </w:pPr>
            <w:r>
              <w:rPr>
                <w:rFonts w:ascii="宋体" w:hAnsi="宋体" w:eastAsia="宋体"/>
                <w:sz w:val="16"/>
              </w:rPr>
              <w:t>项目采购管理合格率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E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11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03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25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2689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0D9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63C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C0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B888F">
            <w:pPr>
              <w:jc w:val="center"/>
            </w:pPr>
          </w:p>
        </w:tc>
      </w:tr>
      <w:tr w14:paraId="3F08A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B68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BB5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C3C3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032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528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BDF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FC9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BF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721F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D80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C5E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57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95B27">
            <w:pPr>
              <w:jc w:val="center"/>
            </w:pPr>
          </w:p>
        </w:tc>
      </w:tr>
      <w:tr w14:paraId="2353B0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F43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3DE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459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FE3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6A28">
            <w:pPr>
              <w:jc w:val="center"/>
            </w:pPr>
            <w:r>
              <w:rPr>
                <w:rFonts w:ascii="宋体" w:hAnsi="宋体" w:eastAsia="宋体"/>
                <w:sz w:val="16"/>
              </w:rPr>
              <w:t>=2024年12月27日前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AC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6D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C7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CB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67D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8712">
            <w:pPr>
              <w:jc w:val="center"/>
            </w:pPr>
            <w:r>
              <w:rPr>
                <w:rFonts w:ascii="宋体" w:hAnsi="宋体" w:eastAsia="宋体"/>
                <w:sz w:val="16"/>
              </w:rPr>
              <w:t>=2024年11月26日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71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82934">
            <w:pPr>
              <w:jc w:val="center"/>
            </w:pPr>
          </w:p>
        </w:tc>
      </w:tr>
      <w:tr w14:paraId="063CBC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A52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0BCC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7A6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12AA9">
            <w:pPr>
              <w:jc w:val="center"/>
            </w:pPr>
            <w:r>
              <w:rPr>
                <w:rFonts w:ascii="宋体" w:hAnsi="宋体" w:eastAsia="宋体"/>
                <w:sz w:val="16"/>
              </w:rPr>
              <w:t>城北中心展厅用电及路灯用电运行费用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E670">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5EE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99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7B59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AA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697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2518">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ACBB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F6F59">
            <w:pPr>
              <w:jc w:val="center"/>
            </w:pPr>
          </w:p>
        </w:tc>
      </w:tr>
      <w:tr w14:paraId="0BADB6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2C3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E56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52E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6543">
            <w:pPr>
              <w:jc w:val="center"/>
            </w:pPr>
            <w:r>
              <w:rPr>
                <w:rFonts w:ascii="宋体" w:hAnsi="宋体" w:eastAsia="宋体"/>
                <w:sz w:val="16"/>
              </w:rPr>
              <w:t>区内氛围营造费用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27C9">
            <w:pPr>
              <w:jc w:val="center"/>
            </w:pPr>
            <w:r>
              <w:rPr>
                <w:rFonts w:ascii="宋体" w:hAnsi="宋体" w:eastAsia="宋体"/>
                <w:sz w:val="16"/>
              </w:rPr>
              <w:t>&lt;=9.84万元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AF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D6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F92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E3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C4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4CA7">
            <w:pPr>
              <w:jc w:val="center"/>
            </w:pPr>
            <w:r>
              <w:rPr>
                <w:rFonts w:ascii="宋体" w:hAnsi="宋体" w:eastAsia="宋体"/>
                <w:sz w:val="16"/>
              </w:rPr>
              <w:t>=9.84万元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21B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BDCE5">
            <w:pPr>
              <w:jc w:val="center"/>
            </w:pPr>
          </w:p>
        </w:tc>
      </w:tr>
      <w:tr w14:paraId="10412E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35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442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0E7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3A19E">
            <w:pPr>
              <w:jc w:val="center"/>
            </w:pPr>
            <w:r>
              <w:rPr>
                <w:rFonts w:ascii="宋体" w:hAnsi="宋体" w:eastAsia="宋体"/>
                <w:sz w:val="16"/>
              </w:rPr>
              <w:t>劳务派遣服务费用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A9A1">
            <w:pPr>
              <w:jc w:val="center"/>
            </w:pPr>
            <w:r>
              <w:rPr>
                <w:rFonts w:ascii="宋体" w:hAnsi="宋体" w:eastAsia="宋体"/>
                <w:sz w:val="16"/>
              </w:rPr>
              <w:t>&lt;=12.70万元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F8B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7C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831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84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0D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8FADC">
            <w:pPr>
              <w:jc w:val="center"/>
            </w:pPr>
            <w:r>
              <w:rPr>
                <w:rFonts w:ascii="宋体" w:hAnsi="宋体" w:eastAsia="宋体"/>
                <w:sz w:val="16"/>
              </w:rPr>
              <w:t>=12.7万元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D39F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FE7AD">
            <w:pPr>
              <w:jc w:val="center"/>
            </w:pPr>
          </w:p>
        </w:tc>
      </w:tr>
      <w:tr w14:paraId="7A2FF5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C4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6F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ADF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DBFF9">
            <w:pPr>
              <w:jc w:val="center"/>
            </w:pPr>
            <w:r>
              <w:rPr>
                <w:rFonts w:ascii="宋体" w:hAnsi="宋体" w:eastAsia="宋体"/>
                <w:sz w:val="16"/>
              </w:rPr>
              <w:t>市政维修费用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C331">
            <w:pPr>
              <w:jc w:val="center"/>
            </w:pPr>
            <w:r>
              <w:rPr>
                <w:rFonts w:ascii="宋体" w:hAnsi="宋体" w:eastAsia="宋体"/>
                <w:sz w:val="16"/>
              </w:rPr>
              <w:t>&lt;=46.17万元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DB2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C8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64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7F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B8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2E5D4">
            <w:pPr>
              <w:jc w:val="center"/>
            </w:pPr>
            <w:r>
              <w:rPr>
                <w:rFonts w:ascii="宋体" w:hAnsi="宋体" w:eastAsia="宋体"/>
                <w:sz w:val="16"/>
              </w:rPr>
              <w:t>=38.9万元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AE912">
            <w:pPr>
              <w:jc w:val="center"/>
            </w:pPr>
            <w:r>
              <w:rPr>
                <w:rFonts w:ascii="宋体" w:hAnsi="宋体" w:eastAsia="宋体"/>
                <w:sz w:val="16"/>
              </w:rPr>
              <w:t>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49D9A">
            <w:pPr>
              <w:jc w:val="center"/>
            </w:pPr>
            <w:r>
              <w:rPr>
                <w:rFonts w:ascii="宋体" w:hAnsi="宋体" w:eastAsia="宋体"/>
                <w:sz w:val="16"/>
              </w:rPr>
              <w:t>项目初期，市政维修费用所需</w:t>
            </w:r>
            <w:r>
              <w:rPr>
                <w:rFonts w:hint="eastAsia" w:ascii="宋体" w:hAnsi="宋体"/>
                <w:sz w:val="16"/>
                <w:lang w:eastAsia="zh-CN"/>
              </w:rPr>
              <w:t>资金的</w:t>
            </w:r>
            <w:r>
              <w:rPr>
                <w:rFonts w:ascii="宋体" w:hAnsi="宋体" w:eastAsia="宋体"/>
                <w:sz w:val="16"/>
              </w:rPr>
              <w:t>测算存在偏差，导致预期值设置偏高。改进措施：深入分析，更好地把握和预测市政维修费用的实际支出情况变化，避免出现偏差。</w:t>
            </w:r>
          </w:p>
        </w:tc>
      </w:tr>
      <w:tr w14:paraId="5CE21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7A7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534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BD6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AD48">
            <w:pPr>
              <w:jc w:val="center"/>
            </w:pPr>
            <w:r>
              <w:rPr>
                <w:rFonts w:ascii="宋体" w:hAnsi="宋体" w:eastAsia="宋体"/>
                <w:sz w:val="16"/>
              </w:rPr>
              <w:t>办公设备购置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F5CF">
            <w:pPr>
              <w:jc w:val="center"/>
            </w:pPr>
            <w:r>
              <w:rPr>
                <w:rFonts w:ascii="宋体" w:hAnsi="宋体" w:eastAsia="宋体"/>
                <w:sz w:val="16"/>
              </w:rPr>
              <w:t>&lt;=1.08万元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FC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7F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A1D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43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00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4461B">
            <w:pPr>
              <w:jc w:val="center"/>
            </w:pPr>
            <w:r>
              <w:rPr>
                <w:rFonts w:ascii="宋体" w:hAnsi="宋体" w:eastAsia="宋体"/>
                <w:sz w:val="16"/>
              </w:rPr>
              <w: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ED6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C957B">
            <w:pPr>
              <w:jc w:val="center"/>
            </w:pPr>
          </w:p>
        </w:tc>
      </w:tr>
      <w:tr w14:paraId="3794FF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686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A7C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86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9B76">
            <w:pPr>
              <w:jc w:val="center"/>
            </w:pPr>
            <w:r>
              <w:rPr>
                <w:rFonts w:ascii="宋体" w:hAnsi="宋体" w:eastAsia="宋体"/>
                <w:sz w:val="16"/>
              </w:rPr>
              <w:t>公务用车保障能力提升情况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BEBE0">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5F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E1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D14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33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23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438F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5E4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0BF00">
            <w:pPr>
              <w:jc w:val="center"/>
            </w:pPr>
          </w:p>
        </w:tc>
      </w:tr>
      <w:tr w14:paraId="05B0A5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78E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F57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1E7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205E">
            <w:pPr>
              <w:jc w:val="center"/>
            </w:pPr>
            <w:r>
              <w:rPr>
                <w:rFonts w:ascii="宋体" w:hAnsi="宋体" w:eastAsia="宋体"/>
                <w:sz w:val="16"/>
              </w:rPr>
              <w:t>区内工作人员满意度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32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CC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0C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B8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43C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5E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7AF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D6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C8E11">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01E35A4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6E7BE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B4D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80356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B9C43">
            <w:pPr>
              <w:jc w:val="center"/>
            </w:pPr>
            <w:r>
              <w:rPr>
                <w:rFonts w:ascii="宋体" w:hAnsi="宋体" w:eastAsia="宋体"/>
                <w:sz w:val="16"/>
              </w:rPr>
              <w:t>96.69分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D37FBC0"/>
        </w:tc>
      </w:tr>
    </w:tbl>
    <w:p w14:paraId="09FE089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0AB0A0ED">
        <w:tc>
          <w:tcPr>
            <w:tcW w:w="8848" w:type="dxa"/>
            <w:gridSpan w:val="14"/>
            <w:vAlign w:val="center"/>
          </w:tcPr>
          <w:p w14:paraId="5E8AC184">
            <w:pPr>
              <w:jc w:val="center"/>
            </w:pPr>
            <w:r>
              <w:rPr>
                <w:rFonts w:ascii="宋体" w:hAnsi="宋体" w:eastAsia="宋体"/>
                <w:sz w:val="24"/>
              </w:rPr>
              <w:t>项目支出绩效自评表</w:t>
            </w:r>
          </w:p>
        </w:tc>
      </w:tr>
      <w:tr w14:paraId="00C4F191">
        <w:tblPrEx>
          <w:tblCellMar>
            <w:top w:w="0" w:type="dxa"/>
            <w:left w:w="108" w:type="dxa"/>
            <w:bottom w:w="0" w:type="dxa"/>
            <w:right w:w="108" w:type="dxa"/>
          </w:tblCellMar>
        </w:tblPrEx>
        <w:tc>
          <w:tcPr>
            <w:tcW w:w="8848" w:type="dxa"/>
            <w:gridSpan w:val="14"/>
            <w:vAlign w:val="center"/>
          </w:tcPr>
          <w:p w14:paraId="01F2692C">
            <w:pPr>
              <w:jc w:val="center"/>
            </w:pPr>
            <w:r>
              <w:rPr>
                <w:rFonts w:ascii="宋体" w:hAnsi="宋体" w:eastAsia="宋体"/>
                <w:sz w:val="24"/>
              </w:rPr>
              <w:t>(2024年度)</w:t>
            </w:r>
          </w:p>
        </w:tc>
      </w:tr>
      <w:tr w14:paraId="3F897E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7A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CCE1A1">
            <w:pPr>
              <w:jc w:val="center"/>
            </w:pPr>
            <w:r>
              <w:rPr>
                <w:rFonts w:ascii="宋体" w:hAnsi="宋体" w:eastAsia="宋体"/>
                <w:sz w:val="16"/>
              </w:rPr>
              <w:t>招商引资项目</w:t>
            </w:r>
          </w:p>
        </w:tc>
      </w:tr>
      <w:tr w14:paraId="28709A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D73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75C9EF">
            <w:pPr>
              <w:jc w:val="center"/>
            </w:pPr>
            <w:r>
              <w:rPr>
                <w:rFonts w:ascii="宋体" w:hAnsi="宋体" w:eastAsia="宋体"/>
                <w:sz w:val="16"/>
              </w:rPr>
              <w:t>城北转化加工区管理服务中心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AAB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04CAE7">
            <w:pPr>
              <w:jc w:val="center"/>
            </w:pPr>
            <w:r>
              <w:rPr>
                <w:rFonts w:ascii="宋体" w:hAnsi="宋体" w:eastAsia="宋体"/>
                <w:sz w:val="16"/>
              </w:rPr>
              <w:t>城北转化加工区管理服务中心</w:t>
            </w:r>
          </w:p>
        </w:tc>
      </w:tr>
      <w:tr w14:paraId="5FF1AB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FFC4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D721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551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A4CD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4CD9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48E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6AF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15BF">
            <w:pPr>
              <w:jc w:val="center"/>
            </w:pPr>
            <w:r>
              <w:rPr>
                <w:rFonts w:ascii="宋体" w:hAnsi="宋体" w:eastAsia="宋体"/>
                <w:sz w:val="16"/>
              </w:rPr>
              <w:t>得分</w:t>
            </w:r>
          </w:p>
        </w:tc>
      </w:tr>
      <w:tr w14:paraId="02D3B5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4DF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A435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916E2">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2189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67FFC">
            <w:pPr>
              <w:jc w:val="center"/>
            </w:pPr>
            <w:r>
              <w:rPr>
                <w:rFonts w:ascii="宋体" w:hAnsi="宋体" w:eastAsia="宋体"/>
                <w:sz w:val="16"/>
              </w:rPr>
              <w:t>16.02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4A5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18708">
            <w:pPr>
              <w:jc w:val="center"/>
            </w:pPr>
            <w:r>
              <w:rPr>
                <w:rFonts w:ascii="宋体" w:hAnsi="宋体" w:eastAsia="宋体"/>
                <w:sz w:val="16"/>
              </w:rPr>
              <w:t>80.1%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DDAF8">
            <w:pPr>
              <w:jc w:val="center"/>
            </w:pPr>
            <w:r>
              <w:rPr>
                <w:rFonts w:ascii="宋体" w:hAnsi="宋体" w:eastAsia="宋体"/>
                <w:sz w:val="16"/>
              </w:rPr>
              <w:t>5.02分</w:t>
            </w:r>
          </w:p>
        </w:tc>
      </w:tr>
      <w:tr w14:paraId="0CEE6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955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A4A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454B4">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3E8B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0E9DA">
            <w:pPr>
              <w:jc w:val="center"/>
            </w:pPr>
            <w:r>
              <w:rPr>
                <w:rFonts w:ascii="宋体" w:hAnsi="宋体" w:eastAsia="宋体"/>
                <w:sz w:val="16"/>
              </w:rPr>
              <w:t>16.02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E4A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E2B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AE41">
            <w:pPr>
              <w:jc w:val="center"/>
            </w:pPr>
            <w:r>
              <w:rPr>
                <w:rFonts w:ascii="宋体" w:hAnsi="宋体" w:eastAsia="宋体"/>
                <w:sz w:val="16"/>
              </w:rPr>
              <w:t>—</w:t>
            </w:r>
          </w:p>
        </w:tc>
      </w:tr>
      <w:tr w14:paraId="1CE414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CC3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5620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574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2A3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377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50C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483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E653">
            <w:pPr>
              <w:jc w:val="center"/>
            </w:pPr>
            <w:r>
              <w:rPr>
                <w:rFonts w:ascii="宋体" w:hAnsi="宋体" w:eastAsia="宋体"/>
                <w:sz w:val="16"/>
              </w:rPr>
              <w:t>—</w:t>
            </w:r>
          </w:p>
        </w:tc>
      </w:tr>
      <w:tr w14:paraId="2D9DB5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4BB9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5A40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D16D90">
            <w:pPr>
              <w:jc w:val="center"/>
            </w:pPr>
            <w:r>
              <w:rPr>
                <w:rFonts w:ascii="宋体" w:hAnsi="宋体" w:eastAsia="宋体"/>
                <w:sz w:val="16"/>
              </w:rPr>
              <w:t>实际完成情况</w:t>
            </w:r>
          </w:p>
        </w:tc>
      </w:tr>
      <w:tr w14:paraId="652D3B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7FB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99297A">
            <w:pPr>
              <w:jc w:val="both"/>
            </w:pPr>
            <w:r>
              <w:rPr>
                <w:rFonts w:ascii="宋体" w:hAnsi="宋体" w:eastAsia="宋体"/>
                <w:sz w:val="16"/>
              </w:rPr>
              <w:t>该项目预算金额20万元，用于城北加工产业发展服务中心招商引资费用，（1）招商引资经费8万元，其中：1、差旅费7万元；2、举办招商推介会1万元。（2）外出驻点招商工作经费12万元，其中：1、定点办公及住房租赁费2.05万元/年；2、招商引资推介服务费2.5万元/年；3、招商引资运转经费0.09万元/年；展示喀什经济开发区的新面貌、新成就、新环境，提升对外知名度与影响力，提升城北转化加工区招商引资吸引力，增加招商引资，促进经济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E48F9D">
            <w:pPr>
              <w:jc w:val="both"/>
            </w:pPr>
            <w:r>
              <w:rPr>
                <w:rFonts w:hint="eastAsia" w:ascii="宋体" w:hAnsi="宋体"/>
                <w:sz w:val="16"/>
                <w:lang w:eastAsia="zh-CN"/>
              </w:rPr>
              <w:t>截至</w:t>
            </w:r>
            <w:r>
              <w:rPr>
                <w:rFonts w:ascii="宋体" w:hAnsi="宋体" w:eastAsia="宋体"/>
                <w:sz w:val="16"/>
              </w:rPr>
              <w:t>2024年12月31日，项目预算数20万元，全年执行数16.02万元，执行率80.1%，用于城北加工产业发展服务中心招商引资费用，其中外出招商次数3次，驻点招商</w:t>
            </w:r>
            <w:r>
              <w:rPr>
                <w:rFonts w:hint="eastAsia" w:ascii="宋体" w:hAnsi="宋体"/>
                <w:sz w:val="16"/>
                <w:lang w:eastAsia="zh-CN"/>
              </w:rPr>
              <w:t>人数</w:t>
            </w:r>
            <w:r>
              <w:rPr>
                <w:rFonts w:ascii="宋体" w:hAnsi="宋体" w:eastAsia="宋体"/>
                <w:sz w:val="16"/>
              </w:rPr>
              <w:t>2人，外出招商管理合格率100%，支付驻点招商工作费用10.02万元，支付外出招商工作费用6万元，从而提升了城北转化加工区招商引资吸引力，开发区干部满意度达到了100%。</w:t>
            </w:r>
          </w:p>
        </w:tc>
      </w:tr>
      <w:tr w14:paraId="17BC5F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D3AE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25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F5F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66F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4840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AD8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A23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FBD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AF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9F0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02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4E6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AE04B">
            <w:pPr>
              <w:jc w:val="center"/>
            </w:pPr>
            <w:r>
              <w:rPr>
                <w:rFonts w:ascii="宋体" w:hAnsi="宋体" w:eastAsia="宋体"/>
                <w:sz w:val="16"/>
              </w:rPr>
              <w:t>偏差原因分析及改进措施</w:t>
            </w:r>
          </w:p>
        </w:tc>
      </w:tr>
      <w:tr w14:paraId="2078AC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12C8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EC95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3094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CE6B">
            <w:pPr>
              <w:jc w:val="center"/>
            </w:pPr>
            <w:r>
              <w:rPr>
                <w:rFonts w:ascii="宋体" w:hAnsi="宋体" w:eastAsia="宋体"/>
                <w:sz w:val="16"/>
              </w:rPr>
              <w:t>外出招商次数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A7AD">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823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31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F4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93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A7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C5D9">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EF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DE86E">
            <w:pPr>
              <w:jc w:val="center"/>
            </w:pPr>
          </w:p>
        </w:tc>
      </w:tr>
      <w:tr w14:paraId="015CA4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9B8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B14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C4C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1957">
            <w:pPr>
              <w:jc w:val="center"/>
            </w:pPr>
            <w:r>
              <w:rPr>
                <w:rFonts w:ascii="宋体" w:hAnsi="宋体" w:eastAsia="宋体"/>
                <w:sz w:val="16"/>
              </w:rPr>
              <w:t>驻点招商人数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EC91">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7DC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BE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50A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57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11A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CF6D">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93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8E2FA">
            <w:pPr>
              <w:jc w:val="center"/>
            </w:pPr>
          </w:p>
        </w:tc>
      </w:tr>
      <w:tr w14:paraId="3AB0BB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04E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3C0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4CB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3F07">
            <w:pPr>
              <w:jc w:val="center"/>
            </w:pPr>
            <w:r>
              <w:rPr>
                <w:rFonts w:ascii="宋体" w:hAnsi="宋体" w:eastAsia="宋体"/>
                <w:sz w:val="16"/>
              </w:rPr>
              <w:t>外出招商管理合格率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E05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14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4C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D46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C73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C66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45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1006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9D9EB">
            <w:pPr>
              <w:jc w:val="center"/>
            </w:pPr>
          </w:p>
        </w:tc>
      </w:tr>
      <w:tr w14:paraId="30CDB8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ACA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DC4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706C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1202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B2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78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CCB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939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24E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C2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8C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27F1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17F22">
            <w:pPr>
              <w:jc w:val="center"/>
            </w:pPr>
          </w:p>
        </w:tc>
      </w:tr>
      <w:tr w14:paraId="4F1CD2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56F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6A5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758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DD6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E299">
            <w:pPr>
              <w:jc w:val="center"/>
            </w:pPr>
            <w:r>
              <w:rPr>
                <w:rFonts w:ascii="宋体" w:hAnsi="宋体" w:eastAsia="宋体"/>
                <w:sz w:val="16"/>
              </w:rPr>
              <w:t>=2024年12月17日前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AD6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16E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295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52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BF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4D23">
            <w:pPr>
              <w:jc w:val="center"/>
            </w:pPr>
            <w:r>
              <w:rPr>
                <w:rFonts w:ascii="宋体" w:hAnsi="宋体" w:eastAsia="宋体"/>
                <w:sz w:val="16"/>
              </w:rPr>
              <w:t>=2024年12月16日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B4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18141">
            <w:pPr>
              <w:jc w:val="center"/>
            </w:pPr>
          </w:p>
        </w:tc>
      </w:tr>
      <w:tr w14:paraId="21115C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4CC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0AA1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D2E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CF9F">
            <w:pPr>
              <w:jc w:val="center"/>
            </w:pPr>
            <w:r>
              <w:rPr>
                <w:rFonts w:ascii="宋体" w:hAnsi="宋体" w:eastAsia="宋体"/>
                <w:sz w:val="16"/>
              </w:rPr>
              <w:t>驻点招商工作费用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D3E9">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8058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763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BD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E1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70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506A">
            <w:pPr>
              <w:jc w:val="center"/>
            </w:pPr>
            <w:r>
              <w:rPr>
                <w:rFonts w:ascii="宋体" w:hAnsi="宋体" w:eastAsia="宋体"/>
                <w:sz w:val="16"/>
              </w:rPr>
              <w:t>=10.02万元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3F538">
            <w:pPr>
              <w:jc w:val="center"/>
            </w:pPr>
            <w:r>
              <w:rPr>
                <w:rFonts w:ascii="宋体" w:hAnsi="宋体" w:eastAsia="宋体"/>
                <w:sz w:val="16"/>
              </w:rPr>
              <w:t>5.88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43575">
            <w:pPr>
              <w:jc w:val="center"/>
            </w:pPr>
            <w:r>
              <w:rPr>
                <w:rFonts w:ascii="宋体" w:hAnsi="宋体" w:eastAsia="宋体"/>
                <w:sz w:val="16"/>
              </w:rPr>
              <w:t>项目初期，对驻点招商工作费用的实际资金需求测算存在偏差，导致预期值设置偏高。改进措施：深入分析，充分了解驻点招商工作费用的实际支出情况的变化，更好地把握和预测。</w:t>
            </w:r>
          </w:p>
        </w:tc>
      </w:tr>
      <w:tr w14:paraId="56ABB6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52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B6F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AA0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D29C">
            <w:pPr>
              <w:jc w:val="center"/>
            </w:pPr>
            <w:r>
              <w:rPr>
                <w:rFonts w:ascii="宋体" w:hAnsi="宋体" w:eastAsia="宋体"/>
                <w:sz w:val="16"/>
              </w:rPr>
              <w:t>外出招商工作费用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5AC5">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143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8E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29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637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12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408F6">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043C8">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B016F">
            <w:pPr>
              <w:jc w:val="center"/>
            </w:pPr>
            <w:r>
              <w:rPr>
                <w:rFonts w:ascii="宋体" w:hAnsi="宋体" w:eastAsia="宋体"/>
                <w:sz w:val="16"/>
              </w:rPr>
              <w:t>项目初期，对外出招商工作费用的实际资金需求测算存在偏差，导致预期值设置偏高。改进措施：深入分析，充分了解外出招商工作费用的实际支出情况的变化，更好地把握和预测。</w:t>
            </w:r>
          </w:p>
        </w:tc>
      </w:tr>
      <w:tr w14:paraId="377122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B77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063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83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3B500">
            <w:pPr>
              <w:jc w:val="center"/>
            </w:pPr>
            <w:r>
              <w:rPr>
                <w:rFonts w:ascii="宋体" w:hAnsi="宋体" w:eastAsia="宋体"/>
                <w:sz w:val="16"/>
              </w:rPr>
              <w:t>提升城北转化加工区招商引资吸引力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3F37D">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D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40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DE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1A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36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26F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5747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AD987">
            <w:pPr>
              <w:jc w:val="center"/>
            </w:pPr>
          </w:p>
        </w:tc>
      </w:tr>
      <w:tr w14:paraId="033CC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AE9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CE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F4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9DF6A">
            <w:pPr>
              <w:jc w:val="center"/>
            </w:pPr>
            <w:r>
              <w:rPr>
                <w:rFonts w:ascii="宋体" w:hAnsi="宋体" w:eastAsia="宋体"/>
                <w:sz w:val="16"/>
              </w:rPr>
              <w:t>开发区干部满意度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3A1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98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68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66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0AE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6E3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03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B2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96B1B">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418DA34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D6760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218B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271BE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F5051">
            <w:pPr>
              <w:jc w:val="center"/>
            </w:pPr>
            <w:r>
              <w:rPr>
                <w:rFonts w:ascii="宋体" w:hAnsi="宋体" w:eastAsia="宋体"/>
                <w:sz w:val="16"/>
              </w:rPr>
              <w:t>84.65分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60C7BCB"/>
        </w:tc>
      </w:tr>
    </w:tbl>
    <w:p w14:paraId="1971392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9E2A0D1">
        <w:tblPrEx>
          <w:tblCellMar>
            <w:top w:w="0" w:type="dxa"/>
            <w:left w:w="108" w:type="dxa"/>
            <w:bottom w:w="0" w:type="dxa"/>
            <w:right w:w="108" w:type="dxa"/>
          </w:tblCellMar>
        </w:tblPrEx>
        <w:tc>
          <w:tcPr>
            <w:tcW w:w="8848" w:type="dxa"/>
            <w:gridSpan w:val="14"/>
            <w:vAlign w:val="center"/>
          </w:tcPr>
          <w:p w14:paraId="264D29F9">
            <w:pPr>
              <w:jc w:val="center"/>
            </w:pPr>
            <w:r>
              <w:rPr>
                <w:rFonts w:ascii="宋体" w:hAnsi="宋体" w:eastAsia="宋体"/>
                <w:sz w:val="24"/>
              </w:rPr>
              <w:t>项目支出绩效自评表</w:t>
            </w:r>
          </w:p>
        </w:tc>
      </w:tr>
      <w:tr w14:paraId="3265813E">
        <w:tblPrEx>
          <w:tblCellMar>
            <w:top w:w="0" w:type="dxa"/>
            <w:left w:w="108" w:type="dxa"/>
            <w:bottom w:w="0" w:type="dxa"/>
            <w:right w:w="108" w:type="dxa"/>
          </w:tblCellMar>
        </w:tblPrEx>
        <w:tc>
          <w:tcPr>
            <w:tcW w:w="8848" w:type="dxa"/>
            <w:gridSpan w:val="14"/>
            <w:vAlign w:val="center"/>
          </w:tcPr>
          <w:p w14:paraId="43710990">
            <w:pPr>
              <w:jc w:val="center"/>
            </w:pPr>
            <w:r>
              <w:rPr>
                <w:rFonts w:ascii="宋体" w:hAnsi="宋体" w:eastAsia="宋体"/>
                <w:sz w:val="24"/>
              </w:rPr>
              <w:t>(2024年度)</w:t>
            </w:r>
          </w:p>
        </w:tc>
      </w:tr>
      <w:tr w14:paraId="1EE4F8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B2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D79E88">
            <w:pPr>
              <w:jc w:val="center"/>
            </w:pPr>
            <w:r>
              <w:rPr>
                <w:rFonts w:ascii="宋体" w:hAnsi="宋体" w:eastAsia="宋体"/>
                <w:sz w:val="16"/>
              </w:rPr>
              <w:t>新疆喀什齐鲁纺织公司债权审查及申报费项目</w:t>
            </w:r>
          </w:p>
        </w:tc>
      </w:tr>
      <w:tr w14:paraId="4A89BC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B4CB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846460">
            <w:pPr>
              <w:jc w:val="center"/>
            </w:pPr>
            <w:r>
              <w:rPr>
                <w:rFonts w:ascii="宋体" w:hAnsi="宋体" w:eastAsia="宋体"/>
                <w:sz w:val="16"/>
              </w:rPr>
              <w:t>城北转化加工区管理服务中心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5D1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838BF5">
            <w:pPr>
              <w:jc w:val="center"/>
            </w:pPr>
            <w:r>
              <w:rPr>
                <w:rFonts w:ascii="宋体" w:hAnsi="宋体" w:eastAsia="宋体"/>
                <w:sz w:val="16"/>
              </w:rPr>
              <w:t>城北转化加工区管理服务中心</w:t>
            </w:r>
          </w:p>
        </w:tc>
      </w:tr>
      <w:tr w14:paraId="16E02A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CAFE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1B2C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19D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C75E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F2D7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192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A4D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C744">
            <w:pPr>
              <w:jc w:val="center"/>
            </w:pPr>
            <w:r>
              <w:rPr>
                <w:rFonts w:ascii="宋体" w:hAnsi="宋体" w:eastAsia="宋体"/>
                <w:sz w:val="16"/>
              </w:rPr>
              <w:t>得分</w:t>
            </w:r>
          </w:p>
        </w:tc>
      </w:tr>
      <w:tr w14:paraId="443BDE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685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4F31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9DD76">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C3A2A">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52ED8">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ADD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4CE5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759C">
            <w:pPr>
              <w:jc w:val="center"/>
            </w:pPr>
            <w:r>
              <w:rPr>
                <w:rFonts w:ascii="宋体" w:hAnsi="宋体" w:eastAsia="宋体"/>
                <w:sz w:val="16"/>
              </w:rPr>
              <w:t>10.00分</w:t>
            </w:r>
          </w:p>
        </w:tc>
      </w:tr>
      <w:tr w14:paraId="30325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9B6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5F6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5F161">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EEE63">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FCCC2">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FE3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D08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50C9">
            <w:pPr>
              <w:jc w:val="center"/>
            </w:pPr>
            <w:r>
              <w:rPr>
                <w:rFonts w:ascii="宋体" w:hAnsi="宋体" w:eastAsia="宋体"/>
                <w:sz w:val="16"/>
              </w:rPr>
              <w:t>—</w:t>
            </w:r>
          </w:p>
        </w:tc>
      </w:tr>
      <w:tr w14:paraId="51DE0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8C0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F054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EC0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013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C5A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C20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0AF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E4E3">
            <w:pPr>
              <w:jc w:val="center"/>
            </w:pPr>
            <w:r>
              <w:rPr>
                <w:rFonts w:ascii="宋体" w:hAnsi="宋体" w:eastAsia="宋体"/>
                <w:sz w:val="16"/>
              </w:rPr>
              <w:t>—</w:t>
            </w:r>
          </w:p>
        </w:tc>
      </w:tr>
      <w:tr w14:paraId="651727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7CBEA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A6879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E68072">
            <w:pPr>
              <w:jc w:val="center"/>
            </w:pPr>
            <w:r>
              <w:rPr>
                <w:rFonts w:ascii="宋体" w:hAnsi="宋体" w:eastAsia="宋体"/>
                <w:sz w:val="16"/>
              </w:rPr>
              <w:t>实际完成情况</w:t>
            </w:r>
          </w:p>
        </w:tc>
      </w:tr>
      <w:tr w14:paraId="72405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571B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D7E62B">
            <w:pPr>
              <w:jc w:val="both"/>
            </w:pPr>
            <w:r>
              <w:rPr>
                <w:rFonts w:ascii="宋体" w:hAnsi="宋体" w:eastAsia="宋体"/>
                <w:sz w:val="16"/>
              </w:rPr>
              <w:t>项目总预算0.6万元，用于代替新隆集团向新疆喀什齐鲁纺织服装有限公司管理人申报债权，从而降低国有资产流失风险。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07AF9F">
            <w:pPr>
              <w:jc w:val="both"/>
            </w:pPr>
            <w:r>
              <w:rPr>
                <w:rFonts w:ascii="宋体" w:hAnsi="宋体" w:eastAsia="宋体"/>
                <w:sz w:val="16"/>
              </w:rPr>
              <w:t>截止至2024年12月31日项目总预算0.6万元，用于代替新隆集团向新疆喀什齐鲁纺织服装有限公司管理人申报债权，资产保全次数1次，保全资产项目1项，支付申报债权费用0.55万元，支付手续费0.05万元，资金使用管理合格率100%，从而降低了国有资产流失风险，受益企业人员满意度达到了100%。</w:t>
            </w:r>
          </w:p>
        </w:tc>
      </w:tr>
      <w:tr w14:paraId="2FE8B0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3694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DC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A7C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141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B34A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9891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47D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0C3A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013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41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969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F21F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EC8CD">
            <w:pPr>
              <w:jc w:val="center"/>
            </w:pPr>
            <w:r>
              <w:rPr>
                <w:rFonts w:ascii="宋体" w:hAnsi="宋体" w:eastAsia="宋体"/>
                <w:sz w:val="16"/>
              </w:rPr>
              <w:t>偏差原因分析及改进措施</w:t>
            </w:r>
          </w:p>
        </w:tc>
      </w:tr>
      <w:tr w14:paraId="3A7F0C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78B5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2B5C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29DB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78E3">
            <w:pPr>
              <w:jc w:val="center"/>
            </w:pPr>
            <w:r>
              <w:rPr>
                <w:rFonts w:ascii="宋体" w:hAnsi="宋体" w:eastAsia="宋体"/>
                <w:sz w:val="16"/>
              </w:rPr>
              <w:t>资产保全次数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AC7A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CC1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DA3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2C8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A09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09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D08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EB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B04EA">
            <w:pPr>
              <w:jc w:val="center"/>
            </w:pPr>
          </w:p>
        </w:tc>
      </w:tr>
      <w:tr w14:paraId="617364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1DF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143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659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7B7C">
            <w:pPr>
              <w:jc w:val="center"/>
            </w:pPr>
            <w:r>
              <w:rPr>
                <w:rFonts w:ascii="宋体" w:hAnsi="宋体" w:eastAsia="宋体"/>
                <w:sz w:val="16"/>
              </w:rPr>
              <w:t>保全资产项目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1CB70">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0A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AF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11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DF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CC3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DD20B">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CF5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4B97C">
            <w:pPr>
              <w:jc w:val="center"/>
            </w:pPr>
          </w:p>
        </w:tc>
      </w:tr>
      <w:tr w14:paraId="5797D9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9E8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1D5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C411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EE51D">
            <w:pPr>
              <w:jc w:val="center"/>
            </w:pPr>
            <w:r>
              <w:rPr>
                <w:rFonts w:ascii="宋体" w:hAnsi="宋体" w:eastAsia="宋体"/>
                <w:sz w:val="16"/>
              </w:rPr>
              <w:t>资金使用管理合格率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3C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41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3DB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204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A521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62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79F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8C0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63136">
            <w:pPr>
              <w:jc w:val="center"/>
            </w:pPr>
          </w:p>
        </w:tc>
      </w:tr>
      <w:tr w14:paraId="2C6E6F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DFD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F55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78B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F4C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EB88">
            <w:pPr>
              <w:jc w:val="center"/>
            </w:pPr>
            <w:r>
              <w:rPr>
                <w:rFonts w:ascii="宋体" w:hAnsi="宋体" w:eastAsia="宋体"/>
                <w:sz w:val="16"/>
              </w:rPr>
              <w:t>=2024年12月17日前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E3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E2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940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9C1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449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36E6">
            <w:pPr>
              <w:jc w:val="center"/>
            </w:pPr>
            <w:r>
              <w:rPr>
                <w:rFonts w:ascii="宋体" w:hAnsi="宋体" w:eastAsia="宋体"/>
                <w:sz w:val="16"/>
              </w:rPr>
              <w:t>=2024年12月16日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1C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2F5E5">
            <w:pPr>
              <w:jc w:val="center"/>
            </w:pPr>
          </w:p>
        </w:tc>
      </w:tr>
      <w:tr w14:paraId="627A8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2E6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DF9F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0DF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8D30">
            <w:pPr>
              <w:jc w:val="center"/>
            </w:pPr>
            <w:r>
              <w:rPr>
                <w:rFonts w:ascii="宋体" w:hAnsi="宋体" w:eastAsia="宋体"/>
                <w:sz w:val="16"/>
              </w:rPr>
              <w:t>申报债权费用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77CA">
            <w:pPr>
              <w:jc w:val="center"/>
            </w:pPr>
            <w:r>
              <w:rPr>
                <w:rFonts w:ascii="宋体" w:hAnsi="宋体" w:eastAsia="宋体"/>
                <w:sz w:val="16"/>
              </w:rPr>
              <w:t>&lt;=0.55万元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525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55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B9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066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A3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1B4C">
            <w:pPr>
              <w:jc w:val="center"/>
            </w:pPr>
            <w:r>
              <w:rPr>
                <w:rFonts w:ascii="宋体" w:hAnsi="宋体" w:eastAsia="宋体"/>
                <w:sz w:val="16"/>
              </w:rPr>
              <w:t>=0.55万元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A7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E5937">
            <w:pPr>
              <w:jc w:val="center"/>
            </w:pPr>
          </w:p>
        </w:tc>
      </w:tr>
      <w:tr w14:paraId="49297B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0B1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0D4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38E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66B54">
            <w:pPr>
              <w:jc w:val="center"/>
            </w:pPr>
            <w:r>
              <w:rPr>
                <w:rFonts w:ascii="宋体" w:hAnsi="宋体" w:eastAsia="宋体"/>
                <w:sz w:val="16"/>
              </w:rPr>
              <w:t>手续费等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A56F">
            <w:pPr>
              <w:jc w:val="center"/>
            </w:pPr>
            <w:r>
              <w:rPr>
                <w:rFonts w:ascii="宋体" w:hAnsi="宋体" w:eastAsia="宋体"/>
                <w:sz w:val="16"/>
              </w:rPr>
              <w:t>&lt;=0.05万元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74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C59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3E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88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54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5883">
            <w:pPr>
              <w:jc w:val="center"/>
            </w:pPr>
            <w:r>
              <w:rPr>
                <w:rFonts w:ascii="宋体" w:hAnsi="宋体" w:eastAsia="宋体"/>
                <w:sz w:val="16"/>
              </w:rPr>
              <w:t>=0.05万元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A6E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90459">
            <w:pPr>
              <w:jc w:val="center"/>
            </w:pPr>
          </w:p>
        </w:tc>
      </w:tr>
      <w:tr w14:paraId="152081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687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6D0C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0F8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185B4">
            <w:pPr>
              <w:jc w:val="center"/>
            </w:pPr>
            <w:r>
              <w:rPr>
                <w:rFonts w:ascii="宋体" w:hAnsi="宋体" w:eastAsia="宋体"/>
                <w:sz w:val="16"/>
              </w:rPr>
              <w:t>降低国有资产流失风险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2E26F">
            <w:pPr>
              <w:jc w:val="center"/>
            </w:pPr>
            <w:r>
              <w:rPr>
                <w:rFonts w:ascii="宋体" w:hAnsi="宋体" w:eastAsia="宋体"/>
                <w:sz w:val="16"/>
              </w:rPr>
              <w:t>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19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409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D9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7BBD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B8C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74EF">
            <w:pPr>
              <w:jc w:val="center"/>
            </w:pPr>
            <w:r>
              <w:rPr>
                <w:rFonts w:ascii="宋体" w:hAnsi="宋体" w:eastAsia="宋体"/>
                <w:sz w:val="16"/>
              </w:rPr>
              <w:t>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588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7ED4C">
            <w:pPr>
              <w:jc w:val="center"/>
            </w:pPr>
          </w:p>
        </w:tc>
      </w:tr>
      <w:tr w14:paraId="28B6C0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6B4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E5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2F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7579">
            <w:pPr>
              <w:jc w:val="center"/>
            </w:pPr>
            <w:r>
              <w:rPr>
                <w:rFonts w:hint="eastAsia" w:ascii="宋体" w:hAnsi="宋体"/>
                <w:sz w:val="16"/>
                <w:lang w:eastAsia="zh-CN"/>
              </w:rPr>
              <w:t>受益</w:t>
            </w:r>
            <w:r>
              <w:rPr>
                <w:rFonts w:ascii="宋体" w:hAnsi="宋体" w:eastAsia="宋体"/>
                <w:sz w:val="16"/>
              </w:rPr>
              <w:t>企业人员满意度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A1B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12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DC6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34E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84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F4E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36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776E">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0FBD5">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37BDDBF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A3BBD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061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B3ADB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5176">
            <w:pPr>
              <w:jc w:val="center"/>
            </w:pPr>
            <w:r>
              <w:rPr>
                <w:rFonts w:ascii="宋体" w:hAnsi="宋体" w:eastAsia="宋体"/>
                <w:sz w:val="16"/>
              </w:rPr>
              <w:t>99.5分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A9C1322"/>
        </w:tc>
      </w:tr>
    </w:tbl>
    <w:p w14:paraId="14BF1DE3">
      <w:r>
        <w:br w:type="page"/>
      </w:r>
    </w:p>
    <w:p w14:paraId="6971C144">
      <w:pPr>
        <w:spacing w:line="640" w:lineRule="exact"/>
        <w:ind w:firstLine="640"/>
        <w:jc w:val="both"/>
        <w:outlineLvl w:val="2"/>
      </w:pPr>
      <w:r>
        <w:rPr>
          <w:rFonts w:ascii="黑体" w:hAnsi="黑体" w:eastAsia="黑体"/>
          <w:sz w:val="32"/>
        </w:rPr>
        <w:t>十二、其他需说明的事项</w:t>
      </w:r>
    </w:p>
    <w:p w14:paraId="361A91B3">
      <w:pPr>
        <w:spacing w:line="580" w:lineRule="exact"/>
        <w:ind w:firstLine="640"/>
        <w:jc w:val="both"/>
      </w:pPr>
      <w:r>
        <w:rPr>
          <w:rFonts w:ascii="仿宋_GB2312" w:hAnsi="仿宋_GB2312" w:eastAsia="仿宋_GB2312"/>
          <w:b w:val="0"/>
          <w:sz w:val="32"/>
        </w:rPr>
        <w:t>本单位无其他需说明的事项。</w:t>
      </w:r>
    </w:p>
    <w:p w14:paraId="68BEDCF3">
      <w:r>
        <w:br w:type="page"/>
      </w:r>
    </w:p>
    <w:p w14:paraId="6648B48E">
      <w:pPr>
        <w:spacing w:line="240" w:lineRule="auto"/>
        <w:jc w:val="center"/>
        <w:outlineLvl w:val="1"/>
      </w:pPr>
      <w:r>
        <w:rPr>
          <w:rFonts w:ascii="黑体" w:hAnsi="黑体" w:eastAsia="黑体"/>
          <w:sz w:val="32"/>
        </w:rPr>
        <w:t>第三部分 专业名词解释</w:t>
      </w:r>
    </w:p>
    <w:p w14:paraId="7D76A8A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6C46A8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06B449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7BE85E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2E831B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87E512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B4F6AA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3EB6BA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A52781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506D3E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944FCC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CC2CBC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97BFF1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4C2C64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63FD8B8">
      <w:r>
        <w:br w:type="page"/>
      </w:r>
    </w:p>
    <w:p w14:paraId="7E56876F">
      <w:pPr>
        <w:spacing w:line="240" w:lineRule="auto"/>
        <w:jc w:val="center"/>
        <w:outlineLvl w:val="1"/>
      </w:pPr>
      <w:r>
        <w:rPr>
          <w:rFonts w:ascii="黑体" w:hAnsi="黑体" w:eastAsia="黑体"/>
          <w:sz w:val="32"/>
        </w:rPr>
        <w:t>第四部分 部门决算报表（见附表）</w:t>
      </w:r>
    </w:p>
    <w:p w14:paraId="00D41905">
      <w:pPr>
        <w:spacing w:line="240" w:lineRule="auto"/>
        <w:ind w:firstLine="640"/>
        <w:jc w:val="both"/>
      </w:pPr>
      <w:r>
        <w:rPr>
          <w:rFonts w:ascii="仿宋_GB2312" w:hAnsi="仿宋_GB2312" w:eastAsia="仿宋_GB2312"/>
          <w:b w:val="0"/>
          <w:sz w:val="32"/>
        </w:rPr>
        <w:t>一、《收入支出决算总表》</w:t>
      </w:r>
    </w:p>
    <w:p w14:paraId="092EB2D1">
      <w:pPr>
        <w:spacing w:line="240" w:lineRule="auto"/>
        <w:ind w:firstLine="640"/>
        <w:jc w:val="both"/>
      </w:pPr>
      <w:r>
        <w:rPr>
          <w:rFonts w:ascii="仿宋_GB2312" w:hAnsi="仿宋_GB2312" w:eastAsia="仿宋_GB2312"/>
          <w:b w:val="0"/>
          <w:sz w:val="32"/>
        </w:rPr>
        <w:t>二、《收入决算表》</w:t>
      </w:r>
    </w:p>
    <w:p w14:paraId="67E6EADD">
      <w:pPr>
        <w:spacing w:line="240" w:lineRule="auto"/>
        <w:ind w:firstLine="640"/>
        <w:jc w:val="both"/>
      </w:pPr>
      <w:r>
        <w:rPr>
          <w:rFonts w:ascii="仿宋_GB2312" w:hAnsi="仿宋_GB2312" w:eastAsia="仿宋_GB2312"/>
          <w:b w:val="0"/>
          <w:sz w:val="32"/>
        </w:rPr>
        <w:t>三、《支出决算表》</w:t>
      </w:r>
    </w:p>
    <w:p w14:paraId="7553CF86">
      <w:pPr>
        <w:spacing w:line="240" w:lineRule="auto"/>
        <w:ind w:firstLine="640"/>
        <w:jc w:val="both"/>
      </w:pPr>
      <w:r>
        <w:rPr>
          <w:rFonts w:ascii="仿宋_GB2312" w:hAnsi="仿宋_GB2312" w:eastAsia="仿宋_GB2312"/>
          <w:b w:val="0"/>
          <w:sz w:val="32"/>
        </w:rPr>
        <w:t>四、《财政拨款收入支出决算总表》</w:t>
      </w:r>
    </w:p>
    <w:p w14:paraId="163E5FA0">
      <w:pPr>
        <w:spacing w:line="240" w:lineRule="auto"/>
        <w:ind w:firstLine="640"/>
        <w:jc w:val="both"/>
      </w:pPr>
      <w:r>
        <w:rPr>
          <w:rFonts w:ascii="仿宋_GB2312" w:hAnsi="仿宋_GB2312" w:eastAsia="仿宋_GB2312"/>
          <w:b w:val="0"/>
          <w:sz w:val="32"/>
        </w:rPr>
        <w:t>五、《一般公共预算财政拨款支出决算表》</w:t>
      </w:r>
    </w:p>
    <w:p w14:paraId="3791D0DC">
      <w:pPr>
        <w:spacing w:line="240" w:lineRule="auto"/>
        <w:ind w:firstLine="640"/>
        <w:jc w:val="both"/>
      </w:pPr>
      <w:r>
        <w:rPr>
          <w:rFonts w:ascii="仿宋_GB2312" w:hAnsi="仿宋_GB2312" w:eastAsia="仿宋_GB2312"/>
          <w:b w:val="0"/>
          <w:sz w:val="32"/>
        </w:rPr>
        <w:t>六、《一般公共预算财政拨款基本支出决算表》</w:t>
      </w:r>
    </w:p>
    <w:p w14:paraId="1EF3E7F8">
      <w:pPr>
        <w:spacing w:line="240" w:lineRule="auto"/>
        <w:ind w:firstLine="640"/>
        <w:jc w:val="both"/>
      </w:pPr>
      <w:r>
        <w:rPr>
          <w:rFonts w:ascii="仿宋_GB2312" w:hAnsi="仿宋_GB2312" w:eastAsia="仿宋_GB2312"/>
          <w:b w:val="0"/>
          <w:sz w:val="32"/>
        </w:rPr>
        <w:t>七、《政府性基金预算财政拨款收入支出决算表》</w:t>
      </w:r>
    </w:p>
    <w:p w14:paraId="12573436">
      <w:pPr>
        <w:spacing w:line="240" w:lineRule="auto"/>
        <w:ind w:firstLine="640"/>
        <w:jc w:val="both"/>
      </w:pPr>
      <w:r>
        <w:rPr>
          <w:rFonts w:ascii="仿宋_GB2312" w:hAnsi="仿宋_GB2312" w:eastAsia="仿宋_GB2312"/>
          <w:b w:val="0"/>
          <w:sz w:val="32"/>
        </w:rPr>
        <w:t>八、《国有资本经营预算财政拨款收入支出决算表》</w:t>
      </w:r>
    </w:p>
    <w:p w14:paraId="11963419">
      <w:pPr>
        <w:spacing w:line="240" w:lineRule="auto"/>
        <w:ind w:firstLine="640"/>
        <w:jc w:val="both"/>
      </w:pPr>
      <w:r>
        <w:rPr>
          <w:rFonts w:ascii="仿宋_GB2312" w:hAnsi="仿宋_GB2312" w:eastAsia="仿宋_GB2312"/>
          <w:b w:val="0"/>
          <w:sz w:val="32"/>
        </w:rPr>
        <w:t>九、《财政拨款“三公”经费支出决算表》</w:t>
      </w:r>
    </w:p>
    <w:p w14:paraId="203139A9">
      <w:pPr>
        <w:spacing w:line="240" w:lineRule="auto"/>
        <w:ind w:firstLine="640"/>
        <w:jc w:val="both"/>
      </w:pPr>
    </w:p>
    <w:p w14:paraId="6186109A">
      <w:pPr>
        <w:spacing w:line="240" w:lineRule="auto"/>
        <w:ind w:firstLine="640"/>
        <w:jc w:val="both"/>
      </w:pPr>
    </w:p>
    <w:p w14:paraId="197DE164">
      <w:pPr>
        <w:spacing w:line="240" w:lineRule="auto"/>
        <w:ind w:firstLine="640"/>
        <w:jc w:val="both"/>
      </w:pPr>
    </w:p>
    <w:p w14:paraId="52023E44">
      <w:pPr>
        <w:spacing w:line="240" w:lineRule="auto"/>
        <w:ind w:firstLine="640"/>
        <w:jc w:val="both"/>
      </w:pPr>
    </w:p>
    <w:p w14:paraId="0B61457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D5F1729-6D4A-4F7E-B027-31C77F095C9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3E40075-1732-40C7-A973-34A1E689ECE7}"/>
  </w:font>
  <w:font w:name="仿宋_GB2312">
    <w:panose1 w:val="02010609030101010101"/>
    <w:charset w:val="86"/>
    <w:family w:val="modern"/>
    <w:pitch w:val="default"/>
    <w:sig w:usb0="00000001" w:usb1="080E0000" w:usb2="00000000" w:usb3="00000000" w:csb0="00040000" w:csb1="00000000"/>
    <w:embedRegular r:id="rId3" w:fontKey="{AD125BE3-FB71-442C-BF76-DCB73C7B7F2B}"/>
  </w:font>
  <w:font w:name="楷体_GB2312">
    <w:panose1 w:val="02010609030101010101"/>
    <w:charset w:val="86"/>
    <w:family w:val="auto"/>
    <w:pitch w:val="default"/>
    <w:sig w:usb0="00000001" w:usb1="080E0000" w:usb2="00000000" w:usb3="00000000" w:csb0="00040000" w:csb1="00000000"/>
    <w:embedRegular r:id="rId4" w:fontKey="{9A524758-D469-4027-AB8A-927F3888D86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FB134A7"/>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570944"/>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5702</Words>
  <Characters>6503</Characters>
  <Lines>0</Lines>
  <Paragraphs>0</Paragraphs>
  <TotalTime>5</TotalTime>
  <ScaleCrop>false</ScaleCrop>
  <LinksUpToDate>false</LinksUpToDate>
  <CharactersWithSpaces>6511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2025-09-12T10:34:58Z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