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2017年度喀什经济开发区财政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总决算报告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喀什经济开发区财政总决算（草案）已经开发区管委批准上报，现将决算报告及报表情况报告如下：</w:t>
      </w: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  一、 财政收支执行总体情况 </w:t>
      </w:r>
    </w:p>
    <w:p>
      <w:pPr>
        <w:spacing w:line="600" w:lineRule="exact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楷体" w:hAnsi="楷体" w:eastAsia="楷体" w:cs="仿宋"/>
          <w:b/>
          <w:bCs/>
          <w:color w:val="000000"/>
          <w:sz w:val="32"/>
          <w:szCs w:val="32"/>
        </w:rPr>
        <w:t xml:space="preserve"> （一）上划中央四税总体完成情况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2017年，上划中央四税43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756万元，同比增长140.8%，按税种划分：增值税33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856万元，营业税33万元，企业所得税3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360万元，个人所得税6,507万元；按征收机关划分：国税部门完成35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473万元，地税部门完成8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283万元。</w:t>
      </w:r>
    </w:p>
    <w:p>
      <w:pPr>
        <w:spacing w:line="600" w:lineRule="exact"/>
        <w:ind w:left="420" w:leftChars="200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000000"/>
          <w:sz w:val="32"/>
          <w:szCs w:val="32"/>
        </w:rPr>
        <w:t>（二）公共财政预算收支总体执行情况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2017年，公共财政预算收入54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967万元，完成年初预算的194.7%，同比增长125.5%，超收26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,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733万元，其中：税收收入51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427万元，同比增长121.7%，完成预算数的192.4%，占公共财政预算收入的93.56%；非税收入3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540万元，同比减少198%，完成预算数的236%，占公共财政预算收入的6.44%。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2017年，公共财政预算支出完成51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398万元，同比增长42.1%，完成预算数的110.8%。</w:t>
      </w:r>
    </w:p>
    <w:p>
      <w:pPr>
        <w:spacing w:line="600" w:lineRule="exact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仿宋"/>
          <w:b/>
          <w:bCs/>
          <w:color w:val="000000"/>
          <w:sz w:val="32"/>
          <w:szCs w:val="32"/>
        </w:rPr>
        <w:t>（三）政府性基金预算收支总体执行情况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2017年，政府性基金预算收入完成338万元，同比减少96.9%，完成预算的54.4%，短收1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291万元，其中：城市基础设施建设配套费338万元。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2017年，政府性基金预算支出完成887万元，同比下降96.9%，完成预算的54.5%。</w:t>
      </w:r>
    </w:p>
    <w:p>
      <w:pPr>
        <w:spacing w:line="600" w:lineRule="exact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</w:t>
      </w:r>
      <w:r>
        <w:rPr>
          <w:rFonts w:hint="eastAsia" w:ascii="楷体" w:hAnsi="楷体" w:eastAsia="楷体" w:cs="仿宋"/>
          <w:b/>
          <w:bCs/>
          <w:color w:val="000000"/>
          <w:sz w:val="32"/>
          <w:szCs w:val="32"/>
        </w:rPr>
        <w:t xml:space="preserve">（四）财政收支调整预算情况 </w:t>
      </w:r>
    </w:p>
    <w:p>
      <w:pPr>
        <w:spacing w:line="600" w:lineRule="exact"/>
        <w:ind w:firstLine="642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1.公共预算调整情况：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2017年，公共财政预算年初安排46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369万元（其中：上级补助收入6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000万元、公共财政预算收入28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234万元、从政府性基金预算调入一般公共预算180万元、从预算稳定调节基金调入一般公共预算7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715万元，上年结余4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240万元），上级补助收入增加23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331万元（包括自治区欠汇</w:t>
      </w:r>
      <w:r>
        <w:rPr>
          <w:rFonts w:ascii="仿宋" w:hAnsi="仿宋" w:eastAsia="仿宋" w:cs="仿宋"/>
          <w:color w:val="000000"/>
          <w:sz w:val="32"/>
          <w:szCs w:val="32"/>
        </w:rPr>
        <w:t>基础设施补助收入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15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000万元</w:t>
      </w:r>
      <w:r>
        <w:rPr>
          <w:rFonts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，本年度超收26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733万元，安排预算稳定调节基金30,035万元，调整预算数66,398万元，公共财政预算支出决算数51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398万元，公共预算结余为15,000万元（自治区欠汇</w:t>
      </w:r>
      <w:r>
        <w:rPr>
          <w:rFonts w:ascii="仿宋" w:hAnsi="仿宋" w:eastAsia="仿宋" w:cs="仿宋"/>
          <w:color w:val="000000"/>
          <w:sz w:val="32"/>
          <w:szCs w:val="32"/>
        </w:rPr>
        <w:t>基础设施补助收入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15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000万元</w:t>
      </w:r>
      <w:r>
        <w:rPr>
          <w:rFonts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</w:t>
      </w:r>
    </w:p>
    <w:p>
      <w:pPr>
        <w:spacing w:line="600" w:lineRule="exact"/>
        <w:ind w:firstLine="642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2.政府性基金预算调整情况：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2017年，政府性基金年初安排1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449万元（其中：动用上年结余安排729万元，本级政府性基金收入900万元，从政府性基金调入公共预算180万元），本年政府性基金短收562万元，政府性基金支出决算为887万元，基金预算结余为0万元。</w:t>
      </w:r>
    </w:p>
    <w:p>
      <w:pPr>
        <w:spacing w:line="600" w:lineRule="exact"/>
        <w:ind w:firstLine="482" w:firstLineChars="150"/>
        <w:rPr>
          <w:rFonts w:ascii="楷体" w:hAnsi="楷体" w:eastAsia="楷体" w:cs="仿宋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仿宋"/>
          <w:b/>
          <w:bCs/>
          <w:color w:val="000000"/>
          <w:sz w:val="32"/>
          <w:szCs w:val="32"/>
        </w:rPr>
        <w:t xml:space="preserve"> （五）财政收支结余情况</w:t>
      </w:r>
    </w:p>
    <w:p>
      <w:pPr>
        <w:spacing w:line="600" w:lineRule="exact"/>
        <w:rPr>
          <w:rFonts w:ascii="宋体" w:hAnsi="宋体" w:cs="仿宋"/>
          <w:b/>
          <w:color w:val="000000"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85725</wp:posOffset>
            </wp:positionV>
            <wp:extent cx="4828540" cy="5847715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584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</w:t>
      </w:r>
      <w:r>
        <w:rPr>
          <w:rFonts w:ascii="宋体" w:hAnsi="宋体" w:cs="仿宋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 w:cs="仿宋"/>
          <w:b/>
          <w:color w:val="000000"/>
          <w:sz w:val="30"/>
          <w:szCs w:val="30"/>
        </w:rPr>
        <w:t>表一：2017年财政收支</w:t>
      </w:r>
      <w:r>
        <w:rPr>
          <w:rFonts w:ascii="宋体" w:hAnsi="宋体" w:cs="仿宋"/>
          <w:b/>
          <w:color w:val="000000"/>
          <w:sz w:val="30"/>
          <w:szCs w:val="30"/>
        </w:rPr>
        <w:t>平衡情况</w:t>
      </w:r>
      <w:r>
        <w:rPr>
          <w:rFonts w:hint="eastAsia" w:ascii="宋体" w:hAnsi="宋体" w:cs="仿宋"/>
          <w:b/>
          <w:color w:val="000000"/>
          <w:sz w:val="30"/>
          <w:szCs w:val="30"/>
        </w:rPr>
        <w:t>表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1.公共预算收支平衡及结余情况：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①上年预算结余4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240万元。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②本年收入84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298万元，其中：上级转移支付补助收入29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331万元，公共财政预算收入54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967万元。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③本年调入收入7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895万元，其中：政府性基金调入公共财政预算180万元，从预算稳定调节基金调入公共财政预算7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715万元。  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④本年支出51,398，其中：公共财政预算支出51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398万元。</w:t>
      </w:r>
    </w:p>
    <w:p>
      <w:pPr>
        <w:spacing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⑤根据《预算法》安排预算稳定调节基金30,035万元。</w:t>
      </w:r>
    </w:p>
    <w:p>
      <w:pPr>
        <w:spacing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⑥年末公共预算结余15,000万元（自治区欠汇</w:t>
      </w:r>
      <w:r>
        <w:rPr>
          <w:rFonts w:ascii="仿宋" w:hAnsi="仿宋" w:eastAsia="仿宋" w:cs="仿宋"/>
          <w:color w:val="000000"/>
          <w:sz w:val="32"/>
          <w:szCs w:val="32"/>
        </w:rPr>
        <w:t>基础设施补助收入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15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000万元</w:t>
      </w:r>
      <w:r>
        <w:rPr>
          <w:rFonts w:ascii="仿宋" w:hAnsi="仿宋" w:eastAsia="仿宋" w:cs="仿宋"/>
          <w:color w:val="00000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2.政府性基金收支平衡及结余情况：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①上年基金预算结余729万元。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②本年收入338万元，其中：政府性基金预算收入338万元。</w:t>
      </w:r>
    </w:p>
    <w:p>
      <w:pPr>
        <w:spacing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③本年支出1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067万元，其中：政府性基金支出887万元，从政府性基金调入公共财政预算180万元。</w:t>
      </w:r>
    </w:p>
    <w:p>
      <w:pPr>
        <w:spacing w:line="600" w:lineRule="exact"/>
        <w:ind w:firstLine="640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④年末基金预算无结余。</w:t>
      </w: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 二、财政收入执行情况</w:t>
      </w:r>
    </w:p>
    <w:p>
      <w:pPr>
        <w:numPr>
          <w:ilvl w:val="0"/>
          <w:numId w:val="1"/>
        </w:numPr>
        <w:spacing w:line="600" w:lineRule="exact"/>
        <w:ind w:firstLine="6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公共财政预算收入执行情况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2017年，公共财政预算收入54</w:t>
      </w:r>
      <w:r>
        <w:rPr>
          <w:rFonts w:ascii="仿宋" w:hAnsi="仿宋" w:eastAsia="仿宋" w:cs="仿宋"/>
          <w:color w:val="000000"/>
          <w:sz w:val="32"/>
          <w:szCs w:val="32"/>
        </w:rPr>
        <w:t>,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967万元，同比增长121.7%，完成预算数的194.7%，具体分析情况如下：     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——-增值税。2017年完成34299万元，完成预算的175.9%，同比增长179.5%。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——营业税。2017年完成为33万元，同比减少1706万元，下降98.1</w:t>
      </w:r>
      <w:r>
        <w:rPr>
          <w:rFonts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——个人所得税。2017年完成4337万元，完成预算的117.2%，同比下降4.5%。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——企业所得税。2017年完成2240万元,完成预算的172.3%，同比增长61.7%。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——城市维护建设税。2017年完成4006万元，完成预算的333.8%，同比增长189.7%。</w:t>
      </w:r>
    </w:p>
    <w:p>
      <w:pPr>
        <w:spacing w:line="600" w:lineRule="exact"/>
        <w:ind w:firstLine="64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----房产税。2017年完成1886万元，完成预算的1886%，同比增长475%。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----印花税。2017年完成1609万元，完成预算的687.6%，同比增长164.2%。。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----城镇土地使用税。2017年完成2128万元</w:t>
      </w:r>
      <w:r>
        <w:rPr>
          <w:rFonts w:ascii="仿宋" w:hAnsi="仿宋" w:eastAsia="仿宋" w:cs="仿宋"/>
          <w:color w:val="000000"/>
          <w:sz w:val="32"/>
          <w:szCs w:val="32"/>
        </w:rPr>
        <w:t>，完成预算的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709.3</w:t>
      </w:r>
      <w:r>
        <w:rPr>
          <w:rFonts w:ascii="仿宋" w:hAnsi="仿宋" w:eastAsia="仿宋" w:cs="仿宋"/>
          <w:color w:val="000000"/>
          <w:sz w:val="32"/>
          <w:szCs w:val="32"/>
        </w:rPr>
        <w:t>%，同比增长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298.5</w:t>
      </w:r>
      <w:r>
        <w:rPr>
          <w:rFonts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----土地增值税。2017年完成635万元，完成预算的211.7%，同比增长42.1%。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----契税。2017年完成254万元，完成预算的254%，同比下降26.8%。</w:t>
      </w:r>
    </w:p>
    <w:p>
      <w:pPr>
        <w:pStyle w:val="4"/>
        <w:spacing w:before="0" w:beforeAutospacing="0" w:after="0" w:afterAutospacing="0"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----专项收入。2017年专项收入完成2905万元，完成年初预算的363.1%，超收2105万元，同比增收1899万元，增长188.8%，具体包括：教育费附加1714万元（营业税附征2万元，增值税附征1712万元），同比增长 191.5%；地方教育费附加1142万元（营业税附征1万元，增值税附征1141万元），同比增长191.33%；残疾人保障金收入49万元，同比增长88.46%。专项收入较上年同期大幅增长的主要原因是作为“增值税、营业税、消费税”三税的附加税，随着三税特别是增值税税收的大幅增长而增长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----罚没收入。2017年罚没收入完成7万元,超收7万元，同比增长166.67%，全部为税务部门罚没收入。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----国有资源有偿使用收入。2017年国有资源有偿使用收入完成628万元，完成年初预算的89.7%，短收72万元，同比增加452万元，增长256.82%。</w:t>
      </w:r>
    </w:p>
    <w:p>
      <w:pPr>
        <w:spacing w:line="60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（二）政府性基金收入执行情况</w:t>
      </w:r>
    </w:p>
    <w:p>
      <w:pPr>
        <w:spacing w:line="600" w:lineRule="exact"/>
        <w:ind w:firstLine="636" w:firstLineChars="199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2017年，开发区政府性基金预算收入完成338万元，完成预算的20.7%，短收1,291万元，同比减收452万元，减少-95.1%，其中：城市基础设施配套费收入338万元，同比下降19.9%，其中：国际物流中心二期B区--恒通赛木新材料A车间配套费4万元、喀什农商银行总部大厦配套费334万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三、财政支出执行情况 </w:t>
      </w:r>
    </w:p>
    <w:p>
      <w:pPr>
        <w:spacing w:line="600" w:lineRule="exact"/>
        <w:rPr>
          <w:rFonts w:ascii="楷体" w:hAnsi="楷体" w:eastAsia="楷体" w:cs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 xml:space="preserve">   （一）公共财政预算支出情况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一般公共服务支出12,883万元，完成年初预算的71.6%，同比下降46.7%（其中：政府办公厅（室）及相关机构事务支出275万元，发展与改革事务238万元，财政事务215万元，税收事物100万元，海关事务730万元，人力资源事务115万元，商贸事务11,056万元，对外联络事务支出39万元，其他一般公共事务支出44万元），下降较多的主要原因是2017年拨付财政扶持资金1亿元，</w:t>
      </w:r>
      <w:r>
        <w:rPr>
          <w:rFonts w:ascii="仿宋" w:hAnsi="仿宋" w:eastAsia="仿宋" w:cs="仿宋"/>
          <w:color w:val="000000"/>
          <w:sz w:val="32"/>
          <w:szCs w:val="32"/>
        </w:rPr>
        <w:t>同比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有所下降，</w:t>
      </w:r>
      <w:r>
        <w:rPr>
          <w:rFonts w:ascii="仿宋" w:hAnsi="仿宋" w:eastAsia="仿宋" w:cs="仿宋"/>
          <w:color w:val="000000"/>
          <w:sz w:val="32"/>
          <w:szCs w:val="32"/>
        </w:rPr>
        <w:t>下降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38.7</w:t>
      </w:r>
      <w:r>
        <w:rPr>
          <w:rFonts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2.教育支出11万元，完成预算的22.4%，同比增长57.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</w:t>
      </w:r>
      <w:r>
        <w:rPr>
          <w:rFonts w:ascii="仿宋" w:hAnsi="仿宋" w:eastAsia="仿宋" w:cs="仿宋"/>
          <w:color w:val="FF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。</w:t>
      </w:r>
      <w:bookmarkStart w:id="1" w:name="_GoBack"/>
      <w:bookmarkEnd w:id="1"/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3.科学技术</w:t>
      </w:r>
      <w:r>
        <w:rPr>
          <w:rFonts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11万元</w:t>
      </w:r>
      <w:r>
        <w:rPr>
          <w:rFonts w:ascii="仿宋" w:hAnsi="仿宋" w:eastAsia="仿宋" w:cs="仿宋"/>
          <w:color w:val="000000"/>
          <w:sz w:val="32"/>
          <w:szCs w:val="32"/>
        </w:rPr>
        <w:t>，完成预算的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4</w:t>
      </w:r>
      <w:r>
        <w:rPr>
          <w:rFonts w:ascii="仿宋" w:hAnsi="仿宋" w:eastAsia="仿宋" w:cs="仿宋"/>
          <w:color w:val="000000"/>
          <w:sz w:val="32"/>
          <w:szCs w:val="32"/>
        </w:rPr>
        <w:t>%，同比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下降86.1</w:t>
      </w:r>
      <w:r>
        <w:rPr>
          <w:rFonts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，下降</w:t>
      </w:r>
      <w:r>
        <w:rPr>
          <w:rFonts w:ascii="仿宋" w:hAnsi="仿宋" w:eastAsia="仿宋" w:cs="仿宋"/>
          <w:color w:val="000000"/>
          <w:sz w:val="32"/>
          <w:szCs w:val="32"/>
        </w:rPr>
        <w:t>主要原因是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2016年</w:t>
      </w:r>
      <w:r>
        <w:rPr>
          <w:rFonts w:ascii="仿宋" w:hAnsi="仿宋" w:eastAsia="仿宋" w:cs="仿宋"/>
          <w:color w:val="000000"/>
          <w:sz w:val="32"/>
          <w:szCs w:val="32"/>
        </w:rPr>
        <w:t>同期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科技部领军人才驱动中心建设费用31万元、科创中心物业费40万元</w:t>
      </w:r>
      <w:r>
        <w:rPr>
          <w:rFonts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而2017年上述两项支出分别为0和11万元</w:t>
      </w:r>
      <w:r>
        <w:rPr>
          <w:rFonts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4.社会保障和就业支出464万元，完成预算的203.5%，同比增长209.3%，该科目增支较多的原因主要是2017年拨付产业园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农民工乘车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车辆租赁费247万元；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5.城乡社区支出23,457万元，完成预算的100.5%，同比增长155.7%，增长的主要原因是2017年拨付基础设施建设资金21,174万元，</w:t>
      </w:r>
      <w:r>
        <w:rPr>
          <w:rFonts w:ascii="仿宋" w:hAnsi="仿宋" w:eastAsia="仿宋" w:cs="仿宋"/>
          <w:color w:val="000000"/>
          <w:sz w:val="32"/>
          <w:szCs w:val="32"/>
        </w:rPr>
        <w:t>同比增长4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，同时</w:t>
      </w:r>
      <w:r>
        <w:rPr>
          <w:rFonts w:ascii="仿宋" w:hAnsi="仿宋" w:eastAsia="仿宋" w:cs="仿宋"/>
          <w:color w:val="000000"/>
          <w:sz w:val="32"/>
          <w:szCs w:val="32"/>
        </w:rPr>
        <w:t>拨付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新增建设用地有偿使用费资金3,131万元。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6.交通运输支出1,900万元，完成预算的100%，与上年同期持平，全部是国际国内航线补贴专项资金。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7.资源勘探信息等支出9,048万元，其中：纺织服装企业新增就业专项资金1,868万元，其他纺织业就业专项补贴7,180万元（包括纺织服装企业运费补贴、电费补贴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）。     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8.商业服务业等支出2,000万元，完成预算的200%，同比增加2,000万元，其中：开放型经济发展专项资金1,000万元，中央外经贸专项资金1,000万元;</w:t>
      </w:r>
    </w:p>
    <w:p>
      <w:pPr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9.金融支出30万元，完成预算的50%，同比增长1400%，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增长较多的原因是今年拨付农商行奖励挂牌新三板奖励资金30万元；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Hlk489615083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10.住房保障支出72万元（其中：人员住房公积金72万元），完成预算的73.5%，同比下降5.3%；</w:t>
      </w:r>
    </w:p>
    <w:bookmarkEnd w:id="0"/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11.其他支出1,522万元</w:t>
      </w:r>
      <w:r>
        <w:rPr>
          <w:rFonts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完成预算的106.4%，同比增长153.7%，其中：</w:t>
      </w:r>
      <w:r>
        <w:rPr>
          <w:rFonts w:ascii="仿宋" w:hAnsi="仿宋" w:eastAsia="仿宋" w:cs="仿宋"/>
          <w:color w:val="000000"/>
          <w:sz w:val="32"/>
          <w:szCs w:val="32"/>
        </w:rPr>
        <w:t>向国有企业注资款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1,500万元、同比增长150%，2017年</w:t>
      </w:r>
      <w:r>
        <w:rPr>
          <w:rFonts w:ascii="仿宋" w:hAnsi="仿宋" w:eastAsia="仿宋" w:cs="仿宋"/>
          <w:color w:val="000000"/>
          <w:sz w:val="32"/>
          <w:szCs w:val="32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及人员</w:t>
      </w:r>
      <w:r>
        <w:rPr>
          <w:rFonts w:ascii="仿宋" w:hAnsi="仿宋" w:eastAsia="仿宋" w:cs="仿宋"/>
          <w:color w:val="000000"/>
          <w:sz w:val="32"/>
          <w:szCs w:val="32"/>
        </w:rPr>
        <w:t>经费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22万元。</w:t>
      </w: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（2）政府性基金预算支出887万元，全部为城东贸易区相关工程建设资金，较2016年大幅减少的原因是2016年安排交警大队搬迁补偿款8,369万元、深喀公司注资款2亿元，而2017未安排这部分支出。</w:t>
      </w:r>
    </w:p>
    <w:p>
      <w:pPr>
        <w:spacing w:line="600" w:lineRule="exact"/>
        <w:ind w:left="420" w:left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（二）政府性基金支出情况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政府性基金预算支出28,369万元。主要为拨付的土地整理支出。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三、“三公经费”情况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2017年喀什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经济开发区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认真贯彻自治区和地委落实厉行节约、反对铺张浪费规定的要求，重点加强对因公外出学习考察、公务用车购置及公务接待费用的控制和管理，取得了明显的成效。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2017年一般公共预算财政拨款“三公经费”支出1356.59万元，同比下降7.79%,其中:因公出国（境）支出21.6万元，同比下降77.24%；公务用车购置费为零；公务用车运行维护费支出9,839万元，同比下降4.35%；公务接待费1495.99万元，同比下降30.65%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</w:rPr>
        <w:t xml:space="preserve"> </w:t>
      </w:r>
      <w:r>
        <w:t xml:space="preserve"> </w:t>
      </w:r>
    </w:p>
    <w:sectPr>
      <w:footerReference r:id="rId7" w:type="default"/>
      <w:footerReference r:id="rId8" w:type="even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7A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4705985</wp:posOffset>
              </wp:positionH>
              <wp:positionV relativeFrom="paragraph">
                <wp:posOffset>0</wp:posOffset>
              </wp:positionV>
              <wp:extent cx="568325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3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55pt;margin-top:0pt;height:144pt;width:44.75pt;mso-position-horizontal-relative:margin;z-index:251663360;mso-width-relative:page;mso-height-relative:page;" filled="f" stroked="f" coordsize="21600,21600" o:gfxdata="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PhtenWAAAACAEA&#10;AA8AAAAAAAAAAQAgAAAAIgAAAGRycy9kb3ducmV2LnhtbFBLAQIUABQAAAAIAIdO4kD4KO1jHAIA&#10;ABQEAAAOAAAAAAAAAAEAIAAAACU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4554220</wp:posOffset>
              </wp:positionH>
              <wp:positionV relativeFrom="paragraph">
                <wp:posOffset>0</wp:posOffset>
              </wp:positionV>
              <wp:extent cx="72009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6pt;margin-top:0pt;height:144pt;width:56.7pt;mso-position-horizontal-relative:margin;z-index:251662336;mso-width-relative:page;mso-height-relative:page;" filled="f" stroked="f" coordsize="21600,21600" o:gfxdata="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N6Cyc1gAAAAgBAAAP&#10;AAAAAAAAAAEAIAAAACIAAABkcnMvZG93bnJldi54bWxQSwECFAAUAAAACACHTuJAIjfIoBoCAAAU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4705985</wp:posOffset>
              </wp:positionH>
              <wp:positionV relativeFrom="paragraph">
                <wp:posOffset>0</wp:posOffset>
              </wp:positionV>
              <wp:extent cx="568325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3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55pt;margin-top:0pt;height:144pt;width:44.75pt;mso-position-horizontal-relative:margin;z-index:251671552;mso-width-relative:page;mso-height-relative:page;" filled="f" stroked="f" coordsize="21600,21600" o:gfxdata="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+G16dYAAAAIAQAA&#10;DwAAAAAAAAABACAAAAAiAAAAZHJzL2Rvd25yZXYueG1sUEsBAhQAFAAAAAgAh07iQDBF7yEbAgAA&#10;Fg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4554220</wp:posOffset>
              </wp:positionH>
              <wp:positionV relativeFrom="paragraph">
                <wp:posOffset>0</wp:posOffset>
              </wp:positionV>
              <wp:extent cx="72009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6pt;margin-top:0pt;height:144pt;width:56.7pt;mso-position-horizontal-relative:margin;z-index:251670528;mso-width-relative:page;mso-height-relative:page;" filled="f" stroked="f" coordsize="21600,21600" o:gfxdata="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N6Cyc1gAAAAgBAAAP&#10;AAAAAAAAAAEAIAAAACIAAABkcnMvZG93bnJldi54bWxQSwECFAAUAAAACACHTuJAqibJehoCAAAW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4C03C"/>
    <w:multiLevelType w:val="singleLevel"/>
    <w:tmpl w:val="5AB4C03C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0E"/>
    <w:rsid w:val="00005F55"/>
    <w:rsid w:val="000061F2"/>
    <w:rsid w:val="000250C1"/>
    <w:rsid w:val="00093044"/>
    <w:rsid w:val="000A096A"/>
    <w:rsid w:val="000B1C0E"/>
    <w:rsid w:val="000E7763"/>
    <w:rsid w:val="0013303F"/>
    <w:rsid w:val="001D03FD"/>
    <w:rsid w:val="001E650E"/>
    <w:rsid w:val="002A4EF7"/>
    <w:rsid w:val="0033409E"/>
    <w:rsid w:val="003A3C1E"/>
    <w:rsid w:val="00700E46"/>
    <w:rsid w:val="00711CE2"/>
    <w:rsid w:val="00721918"/>
    <w:rsid w:val="007421BB"/>
    <w:rsid w:val="00920410"/>
    <w:rsid w:val="009B75C9"/>
    <w:rsid w:val="009F05E2"/>
    <w:rsid w:val="009F3F7A"/>
    <w:rsid w:val="00A47265"/>
    <w:rsid w:val="00A700D9"/>
    <w:rsid w:val="00AA3110"/>
    <w:rsid w:val="00B509BD"/>
    <w:rsid w:val="00B56657"/>
    <w:rsid w:val="00CB48B4"/>
    <w:rsid w:val="00D02468"/>
    <w:rsid w:val="00E24956"/>
    <w:rsid w:val="00EC6788"/>
    <w:rsid w:val="12C4658E"/>
    <w:rsid w:val="231C03AC"/>
    <w:rsid w:val="23717022"/>
    <w:rsid w:val="26DE3EE3"/>
    <w:rsid w:val="28D66BD9"/>
    <w:rsid w:val="312262F4"/>
    <w:rsid w:val="414A7D96"/>
    <w:rsid w:val="431303CB"/>
    <w:rsid w:val="5EE36A2F"/>
    <w:rsid w:val="686B6E14"/>
    <w:rsid w:val="6C6B1161"/>
    <w:rsid w:val="71B12F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0"/>
    <w:rPr>
      <w:color w:val="333333"/>
      <w:u w:val="none"/>
    </w:rPr>
  </w:style>
  <w:style w:type="character" w:styleId="9">
    <w:name w:val="Hyperlink"/>
    <w:basedOn w:val="6"/>
    <w:semiHidden/>
    <w:unhideWhenUsed/>
    <w:qFormat/>
    <w:uiPriority w:val="0"/>
    <w:rPr>
      <w:color w:val="333333"/>
      <w:u w:val="none"/>
    </w:r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575</Words>
  <Characters>3283</Characters>
  <Lines>27</Lines>
  <Paragraphs>7</Paragraphs>
  <TotalTime>14</TotalTime>
  <ScaleCrop>false</ScaleCrop>
  <LinksUpToDate>false</LinksUpToDate>
  <CharactersWithSpaces>3851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2018-02-28T03:42:00Z</dcterms:created>
  <dc:creator>cl</dc:creator>
  <cp:lastModifiedBy>岚</cp:lastModifiedBy>
  <dcterms:modified xsi:type="dcterms:W3CDTF">2019-05-11T06:25:41Z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